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5" w:rsidRPr="00345430" w:rsidRDefault="009702C5" w:rsidP="009702C5">
      <w:pPr>
        <w:ind w:left="142" w:hanging="142"/>
        <w:jc w:val="center"/>
        <w:rPr>
          <w:rFonts w:cs="Arial"/>
          <w:sz w:val="28"/>
          <w:szCs w:val="28"/>
        </w:rPr>
      </w:pPr>
    </w:p>
    <w:p w:rsidR="009702C5" w:rsidRPr="00345430" w:rsidRDefault="009702C5" w:rsidP="009702C5">
      <w:pPr>
        <w:ind w:left="142" w:hanging="142"/>
        <w:jc w:val="center"/>
        <w:rPr>
          <w:rFonts w:cs="Arial"/>
          <w:sz w:val="28"/>
          <w:szCs w:val="28"/>
        </w:rPr>
      </w:pPr>
      <w:r w:rsidRPr="00345430">
        <w:rPr>
          <w:rFonts w:cs="Arial"/>
          <w:sz w:val="28"/>
          <w:szCs w:val="28"/>
        </w:rPr>
        <w:t>ORDEN DEL DÍA</w:t>
      </w:r>
    </w:p>
    <w:p w:rsidR="009702C5" w:rsidRPr="00345430" w:rsidRDefault="009702C5" w:rsidP="009702C5">
      <w:pPr>
        <w:ind w:left="142" w:hanging="142"/>
        <w:jc w:val="center"/>
        <w:rPr>
          <w:rFonts w:cs="Arial"/>
          <w:sz w:val="28"/>
          <w:szCs w:val="28"/>
        </w:rPr>
      </w:pPr>
    </w:p>
    <w:p w:rsidR="009702C5" w:rsidRPr="00345430" w:rsidRDefault="009702C5" w:rsidP="009702C5">
      <w:pPr>
        <w:pStyle w:val="Prrafodelista"/>
        <w:numPr>
          <w:ilvl w:val="0"/>
          <w:numId w:val="1"/>
        </w:numPr>
        <w:ind w:left="142" w:hanging="142"/>
        <w:jc w:val="both"/>
        <w:rPr>
          <w:rFonts w:ascii="Arial" w:hAnsi="Arial" w:cs="Arial"/>
          <w:sz w:val="28"/>
          <w:szCs w:val="28"/>
          <w:lang w:val="es-ES_tradnl"/>
        </w:rPr>
      </w:pPr>
      <w:r w:rsidRPr="00345430">
        <w:rPr>
          <w:rFonts w:ascii="Arial" w:hAnsi="Arial" w:cs="Arial"/>
          <w:sz w:val="28"/>
          <w:szCs w:val="28"/>
          <w:lang w:val="es-ES_tradnl"/>
        </w:rPr>
        <w:t>Lectura del Orden del Día;</w:t>
      </w:r>
    </w:p>
    <w:p w:rsidR="009702C5" w:rsidRPr="00345430" w:rsidRDefault="009702C5" w:rsidP="009702C5">
      <w:pPr>
        <w:pStyle w:val="Prrafodelista"/>
        <w:ind w:left="142" w:hanging="142"/>
        <w:jc w:val="both"/>
        <w:rPr>
          <w:rFonts w:ascii="Arial" w:hAnsi="Arial" w:cs="Arial"/>
          <w:sz w:val="28"/>
          <w:szCs w:val="28"/>
          <w:lang w:val="es-ES_tradnl"/>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Lista de asistencia;</w:t>
      </w:r>
    </w:p>
    <w:p w:rsidR="009702C5" w:rsidRPr="00345430" w:rsidRDefault="009702C5" w:rsidP="009702C5">
      <w:pPr>
        <w:ind w:left="142" w:hanging="142"/>
        <w:rPr>
          <w:rFonts w:cs="Arial"/>
          <w:sz w:val="28"/>
          <w:szCs w:val="28"/>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ES_tradnl"/>
        </w:rPr>
        <w:t>Declaración del quórum, y en su caso, instalación formal de la Sesión;</w:t>
      </w:r>
    </w:p>
    <w:p w:rsidR="009702C5" w:rsidRPr="00345430" w:rsidRDefault="009702C5" w:rsidP="009702C5">
      <w:pPr>
        <w:pStyle w:val="Prrafodelista"/>
        <w:ind w:left="142"/>
        <w:jc w:val="both"/>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Lectura, discusión y, aprobación, en su caso, del Acta de la Sesión Pública Ordinaria No. 9, celebrada el 07 de junio de 2017;</w:t>
      </w:r>
    </w:p>
    <w:p w:rsidR="009702C5" w:rsidRPr="00345430" w:rsidRDefault="009702C5" w:rsidP="009702C5">
      <w:pPr>
        <w:ind w:left="142" w:hanging="142"/>
        <w:rPr>
          <w:rFonts w:cs="Arial"/>
          <w:sz w:val="28"/>
          <w:szCs w:val="28"/>
        </w:rPr>
      </w:pPr>
    </w:p>
    <w:p w:rsidR="009702C5"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Lectura de Síntesis de Comunicaciones;</w:t>
      </w:r>
    </w:p>
    <w:p w:rsidR="009702C5" w:rsidRDefault="009702C5" w:rsidP="009702C5">
      <w:pPr>
        <w:pStyle w:val="Prrafodelista"/>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Pr>
          <w:rFonts w:ascii="Arial" w:hAnsi="Arial" w:cs="Arial"/>
          <w:sz w:val="28"/>
          <w:szCs w:val="28"/>
          <w:lang w:val="es-MX"/>
        </w:rPr>
        <w:t>Lectura, discusión y, aprobación, en su caso, del dictamen elaborado por la Comisión de Educación y Cultura, relativo al Premio Estatal de Periodismo, en su edición 2017;</w:t>
      </w:r>
    </w:p>
    <w:p w:rsidR="009702C5" w:rsidRPr="00345430" w:rsidRDefault="009702C5" w:rsidP="009702C5">
      <w:pPr>
        <w:pStyle w:val="Prrafodelista"/>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 xml:space="preserve">Lectura, discusión y, aprobación, en su caso, del dictamen elaborado por la Comisión de Estudios Legislativos y Puntos Constitucionales, en conjunto con la Comisión de Derechos Humanos, Asuntos Indígenas y Atención al Migrante, relativo a </w:t>
      </w:r>
      <w:r w:rsidRPr="00345430">
        <w:rPr>
          <w:rFonts w:ascii="Arial" w:hAnsi="Arial" w:cs="Arial"/>
          <w:bCs/>
          <w:sz w:val="28"/>
          <w:szCs w:val="28"/>
          <w:lang w:val="es-MX"/>
        </w:rPr>
        <w:t>reformar el artículo 3° de la Ley Orgánica de la Comisión de Derechos Humanos del Estado de Colima</w:t>
      </w:r>
      <w:r w:rsidRPr="00345430">
        <w:rPr>
          <w:rFonts w:ascii="Arial" w:hAnsi="Arial" w:cs="Arial"/>
          <w:sz w:val="28"/>
          <w:szCs w:val="28"/>
          <w:lang w:val="es-MX"/>
        </w:rPr>
        <w:t>;</w:t>
      </w:r>
    </w:p>
    <w:p w:rsidR="009702C5" w:rsidRPr="00345430" w:rsidRDefault="009702C5" w:rsidP="009702C5">
      <w:pPr>
        <w:pStyle w:val="Prrafodelista"/>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 xml:space="preserve">Lectura, discusión y, aprobación, en su caso, del dictamen elaborado por la Comisión de Estudios Legislativos y Puntos Constitucionales relativo a </w:t>
      </w:r>
      <w:r>
        <w:rPr>
          <w:rFonts w:ascii="Arial" w:hAnsi="Arial" w:cs="Arial"/>
          <w:sz w:val="28"/>
          <w:szCs w:val="28"/>
          <w:lang w:val="es-MX"/>
        </w:rPr>
        <w:t xml:space="preserve">reformar </w:t>
      </w:r>
      <w:r w:rsidRPr="000066A2">
        <w:rPr>
          <w:rFonts w:ascii="Arial" w:hAnsi="Arial" w:cs="Arial"/>
          <w:sz w:val="28"/>
          <w:szCs w:val="28"/>
          <w:lang w:val="es-MX"/>
        </w:rPr>
        <w:t>el artículo 44 fracción XVIII; 75; 77, primer párrafo, fracciones I y II; y el 78; y se adiciona un artículo 45 Bis y la fracción IV al artículo 77 de la Ley Estatal de Responsabilidades de los Servidores Públicos</w:t>
      </w:r>
      <w:r w:rsidRPr="00345430">
        <w:rPr>
          <w:rFonts w:ascii="Arial" w:hAnsi="Arial" w:cs="Arial"/>
          <w:bCs/>
          <w:sz w:val="28"/>
          <w:szCs w:val="28"/>
          <w:lang w:val="es-MX"/>
        </w:rPr>
        <w:t>;</w:t>
      </w:r>
    </w:p>
    <w:p w:rsidR="009702C5" w:rsidRPr="00345430" w:rsidRDefault="009702C5" w:rsidP="009702C5">
      <w:pPr>
        <w:pStyle w:val="Prrafodelista"/>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Lectura, discusión y, aprobación, en su caso, del dictamen elaborado por la Comisión de Hacienda, Presupuesto y Fiscalización de los Recursos Públicos, relativo a otorgar un subsidio del 50% en la expedición y renovación de las licencias que se contemplan en la fracción I del artículo 55 B de la Ley de Hacienda para el Estado de Colima;</w:t>
      </w:r>
    </w:p>
    <w:p w:rsidR="009702C5" w:rsidRPr="00345430" w:rsidRDefault="009702C5" w:rsidP="009702C5">
      <w:pPr>
        <w:pStyle w:val="Prrafodelista"/>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lastRenderedPageBreak/>
        <w:t xml:space="preserve">Lectura, discusión y, aprobación, en su caso, de la Iniciativa con Proyecto de Decreto, suscrita por los diputados integrantes del Grupo Parlamentario del Partido Revolucionario Institucional, Nuestro Compromiso Por Colima, del Partido Nueva Alianza, del Partido Verde Ecologista de México y del Partido del Trabajo, relativa a otorgar estímulos fiscales a los usuarios de los servicios de agua potable, alcantarillado y saneamiento del Municipio de </w:t>
      </w:r>
      <w:proofErr w:type="spellStart"/>
      <w:r w:rsidRPr="00345430">
        <w:rPr>
          <w:rFonts w:ascii="Arial" w:hAnsi="Arial" w:cs="Arial"/>
          <w:sz w:val="28"/>
          <w:szCs w:val="28"/>
          <w:lang w:val="es-MX"/>
        </w:rPr>
        <w:t>Ixtlahuacán</w:t>
      </w:r>
      <w:proofErr w:type="spellEnd"/>
      <w:r w:rsidRPr="00345430">
        <w:rPr>
          <w:rFonts w:ascii="Arial" w:hAnsi="Arial" w:cs="Arial"/>
          <w:sz w:val="28"/>
          <w:szCs w:val="28"/>
          <w:lang w:val="es-MX"/>
        </w:rPr>
        <w:t>;</w:t>
      </w:r>
    </w:p>
    <w:p w:rsidR="009702C5" w:rsidRPr="00345430" w:rsidRDefault="009702C5" w:rsidP="009702C5">
      <w:pPr>
        <w:pStyle w:val="Prrafodelista"/>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Asuntos generales;</w:t>
      </w:r>
    </w:p>
    <w:p w:rsidR="009702C5" w:rsidRPr="00345430" w:rsidRDefault="009702C5" w:rsidP="009702C5">
      <w:pPr>
        <w:pStyle w:val="Prrafodelista"/>
        <w:ind w:left="142" w:hanging="142"/>
        <w:rPr>
          <w:rFonts w:ascii="Arial" w:hAnsi="Arial" w:cs="Arial"/>
          <w:sz w:val="28"/>
          <w:szCs w:val="28"/>
          <w:lang w:val="es-MX"/>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Convocatoria para la próxima sesión; y</w:t>
      </w:r>
    </w:p>
    <w:p w:rsidR="009702C5" w:rsidRPr="00345430" w:rsidRDefault="009702C5" w:rsidP="009702C5">
      <w:pPr>
        <w:ind w:left="142" w:hanging="142"/>
        <w:rPr>
          <w:rFonts w:cs="Arial"/>
          <w:sz w:val="28"/>
          <w:szCs w:val="28"/>
        </w:rPr>
      </w:pPr>
    </w:p>
    <w:p w:rsidR="009702C5" w:rsidRPr="00345430" w:rsidRDefault="009702C5" w:rsidP="009702C5">
      <w:pPr>
        <w:pStyle w:val="Prrafodelista"/>
        <w:numPr>
          <w:ilvl w:val="0"/>
          <w:numId w:val="1"/>
        </w:numPr>
        <w:ind w:left="142" w:hanging="142"/>
        <w:jc w:val="both"/>
        <w:rPr>
          <w:rFonts w:ascii="Arial" w:hAnsi="Arial" w:cs="Arial"/>
          <w:sz w:val="28"/>
          <w:szCs w:val="28"/>
          <w:lang w:val="es-MX"/>
        </w:rPr>
      </w:pPr>
      <w:r w:rsidRPr="00345430">
        <w:rPr>
          <w:rFonts w:ascii="Arial" w:hAnsi="Arial" w:cs="Arial"/>
          <w:sz w:val="28"/>
          <w:szCs w:val="28"/>
          <w:lang w:val="es-MX"/>
        </w:rPr>
        <w:t>Clausura.</w:t>
      </w:r>
    </w:p>
    <w:p w:rsidR="009702C5" w:rsidRPr="00345430" w:rsidRDefault="009702C5" w:rsidP="009702C5">
      <w:pPr>
        <w:ind w:left="142" w:hanging="142"/>
        <w:jc w:val="center"/>
        <w:rPr>
          <w:rFonts w:cs="Arial"/>
          <w:sz w:val="28"/>
          <w:szCs w:val="28"/>
        </w:rPr>
      </w:pPr>
    </w:p>
    <w:p w:rsidR="009702C5" w:rsidRPr="00345430" w:rsidRDefault="009702C5" w:rsidP="009702C5">
      <w:pPr>
        <w:ind w:left="142" w:hanging="142"/>
        <w:jc w:val="right"/>
        <w:rPr>
          <w:rFonts w:cs="Arial"/>
          <w:sz w:val="28"/>
          <w:szCs w:val="28"/>
        </w:rPr>
      </w:pPr>
    </w:p>
    <w:p w:rsidR="009702C5" w:rsidRPr="00345430" w:rsidRDefault="009702C5" w:rsidP="009702C5">
      <w:pPr>
        <w:ind w:left="142" w:hanging="142"/>
        <w:jc w:val="right"/>
        <w:rPr>
          <w:rFonts w:cs="Arial"/>
          <w:sz w:val="28"/>
          <w:szCs w:val="28"/>
        </w:rPr>
      </w:pPr>
    </w:p>
    <w:p w:rsidR="009702C5" w:rsidRPr="00345430" w:rsidRDefault="009702C5" w:rsidP="009702C5">
      <w:pPr>
        <w:ind w:left="142" w:hanging="142"/>
        <w:jc w:val="right"/>
        <w:rPr>
          <w:rFonts w:cs="Arial"/>
          <w:sz w:val="28"/>
          <w:szCs w:val="28"/>
        </w:rPr>
      </w:pPr>
      <w:r w:rsidRPr="00345430">
        <w:rPr>
          <w:rFonts w:cs="Arial"/>
          <w:sz w:val="28"/>
          <w:szCs w:val="28"/>
        </w:rPr>
        <w:t xml:space="preserve">Colima, Col., </w:t>
      </w:r>
      <w:r>
        <w:rPr>
          <w:rFonts w:cs="Arial"/>
          <w:sz w:val="28"/>
          <w:szCs w:val="28"/>
        </w:rPr>
        <w:t>20</w:t>
      </w:r>
      <w:r w:rsidRPr="00345430">
        <w:rPr>
          <w:rFonts w:cs="Arial"/>
          <w:sz w:val="28"/>
          <w:szCs w:val="28"/>
        </w:rPr>
        <w:t xml:space="preserve"> de junio de 2017.</w:t>
      </w:r>
    </w:p>
    <w:p w:rsidR="00D2630D" w:rsidRDefault="00D2630D"/>
    <w:sectPr w:rsidR="00D2630D" w:rsidSect="000360EB">
      <w:headerReference w:type="default" r:id="rId5"/>
      <w:footerReference w:type="default" r:id="rId6"/>
      <w:pgSz w:w="12240" w:h="15840"/>
      <w:pgMar w:top="2370" w:right="1041" w:bottom="1417" w:left="1134" w:header="708" w:footer="139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3D" w:rsidRDefault="00C74B91">
    <w:pPr>
      <w:pStyle w:val="Piedepgina"/>
    </w:pPr>
    <w:r w:rsidRPr="00DC79A9">
      <w:rPr>
        <w:noProof/>
        <w:lang w:val="es-ES" w:eastAsia="en-US"/>
      </w:rPr>
      <w:pict>
        <v:shapetype id="_x0000_t202" coordsize="21600,21600" o:spt="202" path="m,l,21600r21600,l21600,xe">
          <v:stroke joinstyle="miter"/>
          <v:path gradientshapeok="t" o:connecttype="rect"/>
        </v:shapetype>
        <v:shape id="_x0000_s1025" type="#_x0000_t202" style="position:absolute;left:0;text-align:left;margin-left:74.35pt;margin-top:12.7pt;width:352.3pt;height:35.15pt;z-index:251660288;mso-width-relative:margin;mso-height-relative:margin" filled="f" stroked="f">
          <v:textbox style="mso-next-textbox:#_x0000_s1025">
            <w:txbxContent>
              <w:p w:rsidR="00F054B1" w:rsidRPr="00107C17" w:rsidRDefault="00C74B91" w:rsidP="007E157F">
                <w:pPr>
                  <w:pStyle w:val="Piedepgina"/>
                  <w:jc w:val="center"/>
                  <w:rPr>
                    <w:rFonts w:ascii="Arial Narrow" w:hAnsi="Arial Narrow" w:cs="Arial"/>
                    <w:b/>
                    <w:color w:val="FFFFFF"/>
                    <w:sz w:val="20"/>
                  </w:rPr>
                </w:pPr>
                <w:r w:rsidRPr="00107C17">
                  <w:rPr>
                    <w:rFonts w:ascii="Arial Narrow" w:hAnsi="Arial Narrow" w:cs="Arial"/>
                    <w:b/>
                    <w:color w:val="FFFFFF"/>
                    <w:sz w:val="20"/>
                  </w:rPr>
                  <w:t>“Año 2017, Centena</w:t>
                </w:r>
                <w:r w:rsidRPr="00107C17">
                  <w:rPr>
                    <w:rFonts w:ascii="Arial Narrow" w:hAnsi="Arial Narrow" w:cs="Arial"/>
                    <w:b/>
                    <w:color w:val="FFFFFF"/>
                    <w:sz w:val="20"/>
                  </w:rPr>
                  <w:t xml:space="preserve">rio de la Constitución Política de los Estados Unidos Mexicanos </w:t>
                </w:r>
              </w:p>
              <w:p w:rsidR="007E157F" w:rsidRPr="00107C17" w:rsidRDefault="00C74B91" w:rsidP="007E157F">
                <w:pPr>
                  <w:pStyle w:val="Piedepgina"/>
                  <w:jc w:val="center"/>
                  <w:rPr>
                    <w:rFonts w:ascii="Arial Narrow" w:hAnsi="Arial Narrow" w:cs="Arial"/>
                    <w:b/>
                    <w:color w:val="FFFFFF"/>
                    <w:sz w:val="20"/>
                  </w:rPr>
                </w:pPr>
                <w:proofErr w:type="gramStart"/>
                <w:r w:rsidRPr="00107C17">
                  <w:rPr>
                    <w:rFonts w:ascii="Arial Narrow" w:hAnsi="Arial Narrow" w:cs="Arial"/>
                    <w:b/>
                    <w:color w:val="FFFFFF"/>
                    <w:sz w:val="20"/>
                  </w:rPr>
                  <w:t>y</w:t>
                </w:r>
                <w:proofErr w:type="gramEnd"/>
                <w:r w:rsidRPr="00107C17">
                  <w:rPr>
                    <w:rFonts w:ascii="Arial Narrow" w:hAnsi="Arial Narrow" w:cs="Arial"/>
                    <w:b/>
                    <w:color w:val="FFFFFF"/>
                    <w:sz w:val="20"/>
                  </w:rPr>
                  <w:t xml:space="preserve"> de la Constitución Política del Estado Libre y Soberano de Colima”</w:t>
                </w:r>
              </w:p>
            </w:txbxContent>
          </v:textbox>
          <w10:wrap type="topAndBottom"/>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36.5pt;margin-top:3.05pt;width:573.55pt;height:68.25pt;z-index:-251655168;visibility:visible">
          <v:imagedata r:id="rId1" o:title="VECTORES LINEAS INFERIORES"/>
        </v:shape>
      </w:pict>
    </w:r>
    <w:r w:rsidRPr="00DC79A9">
      <w:rPr>
        <w:noProof/>
        <w:lang w:val="es-ES" w:eastAsia="zh-TW"/>
      </w:rPr>
      <w:pict>
        <v:rect id="_x0000_s1031" style="position:absolute;left:0;text-align:left;margin-left:552.5pt;margin-top:751.2pt;width:45.45pt;height:28.7pt;z-index:251666432;mso-position-horizontal-relative:page;mso-position-vertical-relative:page" o:allowincell="f" filled="f" stroked="f">
          <v:textbox>
            <w:txbxContent>
              <w:p w:rsidR="00C72A83" w:rsidRPr="00107C17" w:rsidRDefault="00C74B91">
                <w:pPr>
                  <w:jc w:val="center"/>
                  <w:rPr>
                    <w:rFonts w:ascii="Arial Narrow" w:hAnsi="Arial Narrow" w:cs="Calibri"/>
                    <w:b/>
                    <w:color w:val="FFFFFF"/>
                    <w:sz w:val="36"/>
                    <w:szCs w:val="36"/>
                    <w:lang w:val="es-ES"/>
                  </w:rPr>
                </w:pPr>
                <w:r w:rsidRPr="00107C17">
                  <w:rPr>
                    <w:rFonts w:ascii="Arial Narrow" w:hAnsi="Arial Narrow" w:cs="Calibri"/>
                    <w:b/>
                    <w:color w:val="FFFFFF"/>
                    <w:sz w:val="36"/>
                    <w:szCs w:val="36"/>
                    <w:lang w:val="es-ES"/>
                  </w:rPr>
                  <w:fldChar w:fldCharType="begin"/>
                </w:r>
                <w:r w:rsidRPr="00107C17">
                  <w:rPr>
                    <w:rFonts w:ascii="Arial Narrow" w:hAnsi="Arial Narrow" w:cs="Calibri"/>
                    <w:b/>
                    <w:color w:val="FFFFFF"/>
                    <w:sz w:val="36"/>
                    <w:szCs w:val="36"/>
                    <w:lang w:val="es-ES"/>
                  </w:rPr>
                  <w:instrText xml:space="preserve"> PAGE  \* MERGEFORMAT </w:instrText>
                </w:r>
                <w:r w:rsidRPr="00107C17">
                  <w:rPr>
                    <w:rFonts w:ascii="Arial Narrow" w:hAnsi="Arial Narrow" w:cs="Calibri"/>
                    <w:b/>
                    <w:color w:val="FFFFFF"/>
                    <w:sz w:val="36"/>
                    <w:szCs w:val="36"/>
                    <w:lang w:val="es-ES"/>
                  </w:rPr>
                  <w:fldChar w:fldCharType="separate"/>
                </w:r>
                <w:r w:rsidR="009702C5" w:rsidRPr="009702C5">
                  <w:rPr>
                    <w:rFonts w:ascii="Arial Narrow" w:hAnsi="Arial Narrow" w:cs="Calibri"/>
                    <w:b/>
                    <w:noProof/>
                    <w:color w:val="FFFFFF"/>
                    <w:sz w:val="36"/>
                    <w:szCs w:val="36"/>
                  </w:rPr>
                  <w:t>2</w:t>
                </w:r>
                <w:r w:rsidRPr="00107C17">
                  <w:rPr>
                    <w:rFonts w:ascii="Arial Narrow" w:hAnsi="Arial Narrow" w:cs="Calibri"/>
                    <w:b/>
                    <w:color w:val="FFFFFF"/>
                    <w:sz w:val="36"/>
                    <w:szCs w:val="36"/>
                    <w:lang w:val="es-ES"/>
                  </w:rPr>
                  <w:fldChar w:fldCharType="end"/>
                </w:r>
              </w:p>
            </w:txbxContent>
          </v:textbox>
          <w10:wrap anchorx="page" anchory="page"/>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B7" w:rsidRDefault="00C74B9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0;text-align:left;margin-left:-43.05pt;margin-top:-20.45pt;width:580.1pt;height:34.55pt;z-index:251662336;visibility:visible">
          <v:imagedata r:id="rId1" o:title="VECTORES LINEAS SUPERIORES"/>
          <w10:wrap type="square"/>
        </v:shape>
      </w:pict>
    </w:r>
    <w:r>
      <w:rPr>
        <w:noProof/>
        <w:lang w:eastAsia="es-MX"/>
      </w:rPr>
      <w:pict>
        <v:shapetype id="_x0000_t202" coordsize="21600,21600" o:spt="202" path="m,l,21600r21600,l21600,xe">
          <v:stroke joinstyle="miter"/>
          <v:path gradientshapeok="t" o:connecttype="rect"/>
        </v:shapetype>
        <v:shape id="_x0000_s1029" type="#_x0000_t202" style="position:absolute;left:0;text-align:left;margin-left:184.7pt;margin-top:-12.3pt;width:277.5pt;height:22.35pt;z-index:251664384;mso-width-relative:margin;mso-height-relative:margin" filled="f" stroked="f">
          <v:textbox>
            <w:txbxContent>
              <w:p w:rsidR="001C55A0" w:rsidRPr="00581EBE" w:rsidRDefault="00C74B91" w:rsidP="001C55A0">
                <w:pPr>
                  <w:jc w:val="center"/>
                  <w:rPr>
                    <w:rFonts w:ascii="Calibri" w:hAnsi="Calibri"/>
                    <w:b/>
                    <w:color w:val="FFFFFF"/>
                    <w:sz w:val="28"/>
                    <w:lang w:val="es-ES"/>
                  </w:rPr>
                </w:pPr>
                <w:r w:rsidRPr="00581EBE">
                  <w:rPr>
                    <w:rFonts w:ascii="Calibri" w:hAnsi="Calibri"/>
                    <w:b/>
                    <w:color w:val="FFFFFF"/>
                    <w:sz w:val="28"/>
                    <w:lang w:val="es-ES"/>
                  </w:rPr>
                  <w:t>DIRECCIÓN DE PROCESOS LEGISLATIVOS</w:t>
                </w:r>
              </w:p>
            </w:txbxContent>
          </v:textbox>
        </v:shape>
      </w:pict>
    </w:r>
  </w:p>
  <w:p w:rsidR="007C30B7" w:rsidRDefault="00C74B91">
    <w:pPr>
      <w:pStyle w:val="Encabezado"/>
    </w:pPr>
    <w:r w:rsidRPr="00DC79A9">
      <w:rPr>
        <w:noProof/>
        <w:lang w:val="es-ES" w:eastAsia="en-US"/>
      </w:rPr>
      <w:pict>
        <v:shape id="_x0000_s1030" type="#_x0000_t202" style="position:absolute;left:0;text-align:left;margin-left:96.55pt;margin-top:5.8pt;width:307.25pt;height:96.7pt;z-index:251665408;mso-height-percent:200;mso-height-percent:200;mso-width-relative:margin;mso-height-relative:margin" stroked="f">
          <v:textbox style="mso-fit-shape-to-text:t">
            <w:txbxContent>
              <w:p w:rsidR="00DF2A2C" w:rsidRPr="00DF2A2C" w:rsidRDefault="00C74B91" w:rsidP="00F054B1">
                <w:pPr>
                  <w:jc w:val="center"/>
                  <w:rPr>
                    <w:rFonts w:ascii="Arial Narrow" w:hAnsi="Arial Narrow" w:cs="Arial"/>
                    <w:b/>
                    <w:color w:val="800000"/>
                    <w:szCs w:val="26"/>
                  </w:rPr>
                </w:pPr>
                <w:r w:rsidRPr="00DF2A2C">
                  <w:rPr>
                    <w:rFonts w:ascii="Arial Narrow" w:hAnsi="Arial Narrow" w:cs="Arial"/>
                    <w:b/>
                    <w:color w:val="800000"/>
                    <w:szCs w:val="26"/>
                  </w:rPr>
                  <w:t xml:space="preserve">SESIÓN </w:t>
                </w:r>
                <w:r w:rsidRPr="00DF2A2C">
                  <w:rPr>
                    <w:rFonts w:ascii="Arial Narrow" w:hAnsi="Arial Narrow" w:cs="Arial"/>
                    <w:b/>
                    <w:color w:val="800000"/>
                    <w:szCs w:val="26"/>
                  </w:rPr>
                  <w:t>PÚBLICA ORDINARIA</w:t>
                </w:r>
                <w:r w:rsidRPr="00DF2A2C">
                  <w:rPr>
                    <w:rFonts w:ascii="Arial Narrow" w:hAnsi="Arial Narrow" w:cs="Arial"/>
                    <w:b/>
                    <w:color w:val="800000"/>
                    <w:szCs w:val="26"/>
                  </w:rPr>
                  <w:t xml:space="preserve"> NÚMERO </w:t>
                </w:r>
                <w:r>
                  <w:rPr>
                    <w:rFonts w:ascii="Arial Narrow" w:hAnsi="Arial Narrow" w:cs="Arial"/>
                    <w:b/>
                    <w:color w:val="800000"/>
                    <w:szCs w:val="26"/>
                  </w:rPr>
                  <w:t>DIEZ</w:t>
                </w:r>
                <w:r w:rsidRPr="00DF2A2C">
                  <w:rPr>
                    <w:rFonts w:ascii="Arial Narrow" w:hAnsi="Arial Narrow" w:cs="Arial"/>
                    <w:b/>
                    <w:color w:val="800000"/>
                    <w:szCs w:val="26"/>
                  </w:rPr>
                  <w:t xml:space="preserve"> </w:t>
                </w:r>
              </w:p>
              <w:p w:rsidR="00F054B1" w:rsidRPr="00DF2A2C" w:rsidRDefault="00C74B91" w:rsidP="00F054B1">
                <w:pPr>
                  <w:jc w:val="center"/>
                  <w:rPr>
                    <w:rFonts w:ascii="Arial Narrow" w:hAnsi="Arial Narrow" w:cs="Arial"/>
                    <w:b/>
                    <w:color w:val="800000"/>
                    <w:szCs w:val="26"/>
                  </w:rPr>
                </w:pPr>
                <w:r w:rsidRPr="00DF2A2C">
                  <w:rPr>
                    <w:rFonts w:ascii="Arial Narrow" w:hAnsi="Arial Narrow" w:cs="Arial"/>
                    <w:b/>
                    <w:color w:val="800000"/>
                    <w:szCs w:val="26"/>
                  </w:rPr>
                  <w:t>SEGUNDO</w:t>
                </w:r>
                <w:r w:rsidRPr="00DF2A2C">
                  <w:rPr>
                    <w:rFonts w:ascii="Arial Narrow" w:hAnsi="Arial Narrow" w:cs="Arial"/>
                    <w:b/>
                    <w:color w:val="800000"/>
                    <w:szCs w:val="26"/>
                  </w:rPr>
                  <w:t xml:space="preserve"> PERÍODO ORDINARIO DE SESIONES</w:t>
                </w:r>
              </w:p>
              <w:p w:rsidR="00F054B1" w:rsidRPr="00DF2A2C" w:rsidRDefault="00C74B91" w:rsidP="00F054B1">
                <w:pPr>
                  <w:jc w:val="center"/>
                  <w:rPr>
                    <w:b/>
                    <w:color w:val="800000"/>
                    <w:sz w:val="22"/>
                    <w:lang w:val="es-ES"/>
                  </w:rPr>
                </w:pPr>
                <w:r w:rsidRPr="00DF2A2C">
                  <w:rPr>
                    <w:rFonts w:ascii="Arial Narrow" w:hAnsi="Arial Narrow" w:cs="Arial"/>
                    <w:b/>
                    <w:color w:val="800000"/>
                    <w:szCs w:val="26"/>
                  </w:rPr>
                  <w:t>SEGUNDO AÑO DE EJERCICIO CONSTITUCIONAL</w:t>
                </w:r>
              </w:p>
            </w:txbxContent>
          </v:textbox>
        </v:shape>
      </w:pict>
    </w:r>
    <w:r>
      <w:rPr>
        <w:noProof/>
      </w:rPr>
      <w:pict>
        <v:shape id="_x0000_s1032" type="#_x0000_t75" style="position:absolute;left:0;text-align:left;margin-left:-32.75pt;margin-top:3.15pt;width:132.2pt;height:54.25pt;z-index:-251649024;visibility:visible">
          <v:imagedata r:id="rId2" o:title="ESCUDO PL"/>
        </v:shape>
      </w:pict>
    </w:r>
    <w:r>
      <w:rPr>
        <w:noProof/>
      </w:rPr>
      <w:pict>
        <v:shape id="_x0000_s1028" type="#_x0000_t75" style="position:absolute;left:0;text-align:left;margin-left:476.85pt;margin-top:6.9pt;width:37.75pt;height:49.55pt;z-index:251663360;visibility:visible">
          <v:imagedata r:id="rId3" o:title="LOGO LVIII LEGISLATURA NEGRO"/>
          <w10:wrap type="square"/>
        </v:shape>
      </w:pict>
    </w:r>
    <w:r>
      <w:rPr>
        <w:noProof/>
        <w:lang w:eastAsia="es-MX"/>
      </w:rPr>
      <w:t xml:space="preserve"> </w:t>
    </w:r>
  </w:p>
  <w:p w:rsidR="007C30B7" w:rsidRDefault="00C74B91">
    <w:pPr>
      <w:pStyle w:val="Encabezado"/>
    </w:pPr>
  </w:p>
  <w:p w:rsidR="007C30B7" w:rsidRDefault="00C74B91">
    <w:pPr>
      <w:pStyle w:val="Encabezado"/>
    </w:pPr>
  </w:p>
  <w:p w:rsidR="00AF2F3D" w:rsidRDefault="00C74B91">
    <w:pPr>
      <w:pStyle w:val="Encabezado"/>
    </w:pPr>
  </w:p>
  <w:p w:rsidR="00F054B1" w:rsidRDefault="00C74B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E4268"/>
    <w:multiLevelType w:val="hybridMultilevel"/>
    <w:tmpl w:val="9E76BA48"/>
    <w:lvl w:ilvl="0" w:tplc="EC063E62">
      <w:start w:val="1"/>
      <w:numFmt w:val="decimal"/>
      <w:lvlText w:val="%1."/>
      <w:lvlJc w:val="righ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9702C5"/>
    <w:rsid w:val="009702C5"/>
    <w:rsid w:val="00C74B91"/>
    <w:rsid w:val="00D263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C5"/>
    <w:pPr>
      <w:spacing w:after="0" w:line="240" w:lineRule="auto"/>
      <w:jc w:val="both"/>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2C5"/>
    <w:pPr>
      <w:tabs>
        <w:tab w:val="center" w:pos="4419"/>
        <w:tab w:val="right" w:pos="8838"/>
      </w:tabs>
    </w:pPr>
  </w:style>
  <w:style w:type="character" w:customStyle="1" w:styleId="EncabezadoCar">
    <w:name w:val="Encabezado Car"/>
    <w:basedOn w:val="Fuentedeprrafopredeter"/>
    <w:link w:val="Encabezado"/>
    <w:uiPriority w:val="99"/>
    <w:rsid w:val="009702C5"/>
    <w:rPr>
      <w:rFonts w:ascii="Arial" w:eastAsia="Times New Roman" w:hAnsi="Arial" w:cs="Times New Roman"/>
      <w:sz w:val="24"/>
      <w:szCs w:val="20"/>
      <w:lang w:eastAsia="es-ES"/>
    </w:rPr>
  </w:style>
  <w:style w:type="paragraph" w:styleId="Piedepgina">
    <w:name w:val="footer"/>
    <w:basedOn w:val="Normal"/>
    <w:link w:val="PiedepginaCar"/>
    <w:unhideWhenUsed/>
    <w:rsid w:val="009702C5"/>
    <w:pPr>
      <w:tabs>
        <w:tab w:val="center" w:pos="4419"/>
        <w:tab w:val="right" w:pos="8838"/>
      </w:tabs>
    </w:pPr>
  </w:style>
  <w:style w:type="character" w:customStyle="1" w:styleId="PiedepginaCar">
    <w:name w:val="Pie de página Car"/>
    <w:basedOn w:val="Fuentedeprrafopredeter"/>
    <w:link w:val="Piedepgina"/>
    <w:rsid w:val="009702C5"/>
    <w:rPr>
      <w:rFonts w:ascii="Arial" w:eastAsia="Times New Roman" w:hAnsi="Arial" w:cs="Times New Roman"/>
      <w:sz w:val="24"/>
      <w:szCs w:val="20"/>
      <w:lang w:eastAsia="es-ES"/>
    </w:rPr>
  </w:style>
  <w:style w:type="paragraph" w:styleId="Prrafodelista">
    <w:name w:val="List Paragraph"/>
    <w:basedOn w:val="Normal"/>
    <w:uiPriority w:val="34"/>
    <w:qFormat/>
    <w:rsid w:val="009702C5"/>
    <w:pPr>
      <w:ind w:left="720"/>
      <w:contextualSpacing/>
      <w:jc w:val="left"/>
    </w:pPr>
    <w:rPr>
      <w:rFonts w:ascii="Comic Sans MS" w:hAnsi="Comic Sans MS"/>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2017-08-10T17:12:00Z</dcterms:created>
  <dcterms:modified xsi:type="dcterms:W3CDTF">2017-08-10T17:12:00Z</dcterms:modified>
</cp:coreProperties>
</file>