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B97F" w14:textId="77777777" w:rsidR="002C294C" w:rsidRDefault="002C294C" w:rsidP="001A5F9A">
      <w:pPr>
        <w:pStyle w:val="Prrafodelista"/>
        <w:tabs>
          <w:tab w:val="center" w:pos="0"/>
          <w:tab w:val="left" w:pos="6618"/>
        </w:tabs>
        <w:spacing w:after="240"/>
        <w:contextualSpacing w:val="0"/>
        <w:jc w:val="center"/>
        <w:rPr>
          <w:rFonts w:asciiTheme="minorHAnsi" w:hAnsiTheme="minorHAnsi"/>
          <w:b/>
          <w:i/>
          <w:sz w:val="22"/>
          <w:szCs w:val="22"/>
        </w:rPr>
      </w:pPr>
      <w:bookmarkStart w:id="0" w:name="_GoBack"/>
      <w:bookmarkEnd w:id="0"/>
    </w:p>
    <w:p w14:paraId="6EE28EF6" w14:textId="77777777" w:rsidR="00333620" w:rsidRPr="00451DB4" w:rsidRDefault="007B6F09" w:rsidP="001A5F9A">
      <w:pPr>
        <w:pStyle w:val="Prrafodelista"/>
        <w:tabs>
          <w:tab w:val="center" w:pos="0"/>
          <w:tab w:val="left" w:pos="6618"/>
        </w:tabs>
        <w:spacing w:after="240"/>
        <w:contextualSpacing w:val="0"/>
        <w:jc w:val="center"/>
        <w:rPr>
          <w:rFonts w:asciiTheme="minorHAnsi" w:hAnsiTheme="minorHAnsi"/>
          <w:b/>
          <w:i/>
        </w:rPr>
      </w:pPr>
      <w:r w:rsidRPr="00451DB4">
        <w:rPr>
          <w:rFonts w:asciiTheme="minorHAnsi" w:hAnsiTheme="minorHAnsi"/>
          <w:b/>
          <w:i/>
        </w:rPr>
        <w:t>ORDEN DEL DÍA</w:t>
      </w:r>
    </w:p>
    <w:p w14:paraId="350FB439" w14:textId="77777777" w:rsidR="002C294C" w:rsidRPr="00451DB4" w:rsidRDefault="002C294C" w:rsidP="002C294C">
      <w:pPr>
        <w:pStyle w:val="paragraph"/>
        <w:numPr>
          <w:ilvl w:val="0"/>
          <w:numId w:val="22"/>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Lectura del orden del día.</w:t>
      </w:r>
      <w:r w:rsidRPr="00451DB4">
        <w:rPr>
          <w:rStyle w:val="eop"/>
          <w:rFonts w:asciiTheme="minorHAnsi" w:hAnsiTheme="minorHAnsi" w:cs="Segoe UI"/>
          <w:i/>
        </w:rPr>
        <w:t> </w:t>
      </w:r>
    </w:p>
    <w:p w14:paraId="3681C639" w14:textId="77777777" w:rsidR="002C294C" w:rsidRPr="00451DB4" w:rsidRDefault="002C294C" w:rsidP="002C294C">
      <w:pPr>
        <w:pStyle w:val="paragraph"/>
        <w:numPr>
          <w:ilvl w:val="0"/>
          <w:numId w:val="23"/>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Lista de asistencia.</w:t>
      </w:r>
      <w:r w:rsidRPr="00451DB4">
        <w:rPr>
          <w:rStyle w:val="eop"/>
          <w:rFonts w:asciiTheme="minorHAnsi" w:hAnsiTheme="minorHAnsi" w:cs="Segoe UI"/>
          <w:i/>
        </w:rPr>
        <w:t> </w:t>
      </w:r>
    </w:p>
    <w:p w14:paraId="2B9E588B" w14:textId="77777777" w:rsidR="002C294C" w:rsidRPr="00451DB4" w:rsidRDefault="002C294C" w:rsidP="002C294C">
      <w:pPr>
        <w:pStyle w:val="paragraph"/>
        <w:numPr>
          <w:ilvl w:val="0"/>
          <w:numId w:val="24"/>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Declaración de quórum legal y en su caso, instalación formal de la sesión.</w:t>
      </w:r>
      <w:r w:rsidRPr="00451DB4">
        <w:rPr>
          <w:rStyle w:val="eop"/>
          <w:rFonts w:asciiTheme="minorHAnsi" w:hAnsiTheme="minorHAnsi" w:cs="Segoe UI"/>
          <w:i/>
        </w:rPr>
        <w:t> </w:t>
      </w:r>
    </w:p>
    <w:p w14:paraId="74B78C2F" w14:textId="65EDC900" w:rsidR="002C294C" w:rsidRPr="00451DB4" w:rsidRDefault="00C05983" w:rsidP="002C294C">
      <w:pPr>
        <w:pStyle w:val="paragraph"/>
        <w:numPr>
          <w:ilvl w:val="0"/>
          <w:numId w:val="25"/>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Pr>
          <w:rStyle w:val="normaltextrun"/>
          <w:rFonts w:asciiTheme="minorHAnsi" w:hAnsiTheme="minorHAnsi" w:cs="Segoe UI"/>
          <w:i/>
          <w:iCs/>
          <w:lang w:val="es-ES"/>
        </w:rPr>
        <w:t>Propuesta para que la l</w:t>
      </w:r>
      <w:r w:rsidR="002C294C" w:rsidRPr="00451DB4">
        <w:rPr>
          <w:rStyle w:val="normaltextrun"/>
          <w:rFonts w:asciiTheme="minorHAnsi" w:hAnsiTheme="minorHAnsi" w:cs="Segoe UI"/>
          <w:i/>
          <w:iCs/>
          <w:lang w:val="es-ES"/>
        </w:rPr>
        <w:t>ectura, discusión y aprobación en su caso, del acta de la sesión ordinaria número 19</w:t>
      </w:r>
      <w:r>
        <w:rPr>
          <w:rStyle w:val="normaltextrun"/>
          <w:rFonts w:asciiTheme="minorHAnsi" w:hAnsiTheme="minorHAnsi" w:cs="Segoe UI"/>
          <w:i/>
          <w:iCs/>
          <w:lang w:val="es-ES"/>
        </w:rPr>
        <w:t>, sea en la próxima sesión ordinaria</w:t>
      </w:r>
      <w:r w:rsidR="002C294C" w:rsidRPr="00451DB4">
        <w:rPr>
          <w:rStyle w:val="normaltextrun"/>
          <w:rFonts w:asciiTheme="minorHAnsi" w:hAnsiTheme="minorHAnsi" w:cs="Segoe UI"/>
          <w:i/>
          <w:iCs/>
          <w:lang w:val="es-ES"/>
        </w:rPr>
        <w:t>.</w:t>
      </w:r>
      <w:r w:rsidR="002C294C" w:rsidRPr="00451DB4">
        <w:rPr>
          <w:rStyle w:val="eop"/>
          <w:rFonts w:asciiTheme="minorHAnsi" w:hAnsiTheme="minorHAnsi" w:cs="Segoe UI"/>
          <w:i/>
        </w:rPr>
        <w:t> </w:t>
      </w:r>
    </w:p>
    <w:p w14:paraId="4089D00D" w14:textId="77777777" w:rsidR="002C294C" w:rsidRPr="00451DB4" w:rsidRDefault="002C294C" w:rsidP="002C294C">
      <w:pPr>
        <w:pStyle w:val="paragraph"/>
        <w:numPr>
          <w:ilvl w:val="0"/>
          <w:numId w:val="26"/>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Síntesis de comunicación.</w:t>
      </w:r>
      <w:r w:rsidRPr="00451DB4">
        <w:rPr>
          <w:rStyle w:val="eop"/>
          <w:rFonts w:asciiTheme="minorHAnsi" w:hAnsiTheme="minorHAnsi" w:cs="Segoe UI"/>
          <w:i/>
        </w:rPr>
        <w:t> </w:t>
      </w:r>
    </w:p>
    <w:p w14:paraId="01FF48A3" w14:textId="765EBF6B" w:rsidR="002C294C" w:rsidRPr="00451DB4" w:rsidRDefault="002C294C" w:rsidP="002C294C">
      <w:pPr>
        <w:pStyle w:val="paragraph"/>
        <w:numPr>
          <w:ilvl w:val="0"/>
          <w:numId w:val="27"/>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shd w:val="clear" w:color="auto" w:fill="FFFFFF"/>
          <w:lang w:val="es-ES"/>
        </w:rPr>
        <w:t>Lectura, discusión y aprobación en su caso, del</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Dictamen elaborado por la</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Comisión de Hacienda, Presupuesto y Fiscalización de los Recursos Públicos, por medio del cual se otorga pensión por jubilación a la C. NO</w:t>
      </w:r>
      <w:r w:rsidR="00AD786B">
        <w:rPr>
          <w:rStyle w:val="normaltextrun"/>
          <w:rFonts w:asciiTheme="minorHAnsi" w:hAnsiTheme="minorHAnsi" w:cs="Segoe UI"/>
          <w:i/>
          <w:iCs/>
          <w:shd w:val="clear" w:color="auto" w:fill="FFFFFF"/>
          <w:lang w:val="es-ES"/>
        </w:rPr>
        <w:t>H</w:t>
      </w:r>
      <w:r w:rsidRPr="00451DB4">
        <w:rPr>
          <w:rStyle w:val="normaltextrun"/>
          <w:rFonts w:asciiTheme="minorHAnsi" w:hAnsiTheme="minorHAnsi" w:cs="Segoe UI"/>
          <w:i/>
          <w:iCs/>
          <w:shd w:val="clear" w:color="auto" w:fill="FFFFFF"/>
          <w:lang w:val="es-ES"/>
        </w:rPr>
        <w:t>EMÍ VÁZQUEZ TORRES. </w:t>
      </w:r>
      <w:r w:rsidRPr="00451DB4">
        <w:rPr>
          <w:rStyle w:val="eop"/>
          <w:rFonts w:asciiTheme="minorHAnsi" w:hAnsiTheme="minorHAnsi" w:cs="Segoe UI"/>
          <w:i/>
        </w:rPr>
        <w:t> </w:t>
      </w:r>
    </w:p>
    <w:p w14:paraId="39923463" w14:textId="77777777" w:rsidR="002C294C" w:rsidRPr="00451DB4" w:rsidRDefault="002C294C" w:rsidP="002C294C">
      <w:pPr>
        <w:pStyle w:val="paragraph"/>
        <w:numPr>
          <w:ilvl w:val="0"/>
          <w:numId w:val="28"/>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shd w:val="clear" w:color="auto" w:fill="FFFFFF"/>
          <w:lang w:val="es-ES"/>
        </w:rPr>
        <w:t>Lectura, discusión y aprobación en su caso, del Dictamen elaborado</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por la Comisión de Hacienda, Presupuesto y Fiscalización de los Recursos Públicos, por medio del cual se otorga pensión por vejez a los C.C. MARÍA CRISTINA GONZÁLEZ MÁRQUEZ, RAFAEL SEVILLA SOLÓRZANO, RODRIGO ROSALES ESCOBAR y J. JESÚS PRECIADO BARREDA. </w:t>
      </w:r>
      <w:r w:rsidRPr="00451DB4">
        <w:rPr>
          <w:rStyle w:val="eop"/>
          <w:rFonts w:asciiTheme="minorHAnsi" w:hAnsiTheme="minorHAnsi" w:cs="Segoe UI"/>
          <w:i/>
        </w:rPr>
        <w:t> </w:t>
      </w:r>
    </w:p>
    <w:p w14:paraId="38F08306" w14:textId="77777777" w:rsidR="002C294C" w:rsidRPr="00451DB4" w:rsidRDefault="002C294C" w:rsidP="002C294C">
      <w:pPr>
        <w:pStyle w:val="paragraph"/>
        <w:numPr>
          <w:ilvl w:val="0"/>
          <w:numId w:val="29"/>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shd w:val="clear" w:color="auto" w:fill="FFFFFF"/>
          <w:lang w:val="es-ES"/>
        </w:rPr>
        <w:t>Lectura, discusión y aprobación en su caso, del Dictamen elaborado</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conjuntamente por la Comisión de Hacienda, Presupuesto y Fiscalización de los Recursos Públicos, y por la de Planeación del Desarrollo Urbano y Vivienda, por medio del cual se autoriza la desincorporación de un bien inmueble propiedad</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del Gobierno del Estado, a favor del</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Poder Judicial del Estado.</w:t>
      </w:r>
      <w:r w:rsidRPr="00451DB4">
        <w:rPr>
          <w:rStyle w:val="eop"/>
          <w:rFonts w:asciiTheme="minorHAnsi" w:hAnsiTheme="minorHAnsi" w:cs="Segoe UI"/>
          <w:i/>
        </w:rPr>
        <w:t> </w:t>
      </w:r>
    </w:p>
    <w:p w14:paraId="7DDF4B7A" w14:textId="27A780E8" w:rsidR="002C294C" w:rsidRPr="00451DB4" w:rsidRDefault="002C294C" w:rsidP="002C294C">
      <w:pPr>
        <w:pStyle w:val="paragraph"/>
        <w:numPr>
          <w:ilvl w:val="0"/>
          <w:numId w:val="30"/>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shd w:val="clear" w:color="auto" w:fill="FFFFFF"/>
          <w:lang w:val="es-ES"/>
        </w:rPr>
        <w:t>Lectura, discusión y aprobación en su caso, del Dictamen elaborado</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por la Comisión de Hacienda, Presupuesto y Fiscalización de los Recursos Públicos por medio del cual se otorga pensión por viudez y orfandad a la C. YOLANDA CARRIZALES PIZANO y  a la menor KAREM XIMENA GÓMEZ CARRIZALES, FELICITAS CRUZ GARCÍA, MA. LIONOR ANDRADE CAMACHO, XÓCHITL LARIOS ANGUIANO, MARÍA DEL SOCORRO ROBLES GUERRERO, LETICIA JIMÉNEZ, ROSA PAREDES CRUZ, OLIVIA ELISA VELASCO ÁNGEL, MA. TERESA BARRAGÁN AGUILAR, LUZ ELENA GUERRERO RODRÍGUEZ, MARÍA RIVERA LÓPEZ y AMALIA VALLE ANZAR. </w:t>
      </w:r>
      <w:r w:rsidRPr="00451DB4">
        <w:rPr>
          <w:rStyle w:val="eop"/>
          <w:rFonts w:asciiTheme="minorHAnsi" w:hAnsiTheme="minorHAnsi" w:cs="Segoe UI"/>
          <w:i/>
        </w:rPr>
        <w:t> </w:t>
      </w:r>
    </w:p>
    <w:p w14:paraId="7622AE51" w14:textId="238FC704" w:rsidR="00001017" w:rsidRPr="00451DB4" w:rsidRDefault="002C294C" w:rsidP="002C294C">
      <w:pPr>
        <w:pStyle w:val="paragraph"/>
        <w:numPr>
          <w:ilvl w:val="0"/>
          <w:numId w:val="32"/>
        </w:numPr>
        <w:tabs>
          <w:tab w:val="clear" w:pos="720"/>
          <w:tab w:val="num" w:pos="993"/>
        </w:tabs>
        <w:spacing w:before="0" w:beforeAutospacing="0" w:after="160" w:afterAutospacing="0"/>
        <w:ind w:left="141" w:hanging="147"/>
        <w:jc w:val="both"/>
        <w:textAlignment w:val="baseline"/>
        <w:rPr>
          <w:rStyle w:val="normaltextrun"/>
          <w:rFonts w:asciiTheme="minorHAnsi" w:hAnsiTheme="minorHAnsi" w:cs="Segoe UI"/>
          <w:i/>
        </w:rPr>
      </w:pPr>
      <w:r w:rsidRPr="00451DB4">
        <w:rPr>
          <w:rStyle w:val="normaltextrun"/>
          <w:rFonts w:asciiTheme="minorHAnsi" w:hAnsiTheme="minorHAnsi" w:cs="Segoe UI"/>
          <w:i/>
          <w:iCs/>
          <w:shd w:val="clear" w:color="auto" w:fill="FFFFFF"/>
          <w:lang w:val="es-ES"/>
        </w:rPr>
        <w:t>Lectura,</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discusión y aprobación en su caso, del Dictamen elaborado</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por la Comisión</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de</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Estudios</w:t>
      </w:r>
      <w:r w:rsidRPr="00451DB4">
        <w:rPr>
          <w:rStyle w:val="apple-converted-space"/>
          <w:rFonts w:asciiTheme="minorHAnsi" w:hAnsiTheme="minorHAnsi" w:cs="Segoe UI"/>
          <w:i/>
          <w:iCs/>
          <w:shd w:val="clear" w:color="auto" w:fill="FFFFFF"/>
          <w:lang w:val="es-ES"/>
        </w:rPr>
        <w:t> </w:t>
      </w:r>
      <w:r w:rsidRPr="00451DB4">
        <w:rPr>
          <w:rStyle w:val="normaltextrun"/>
          <w:rFonts w:asciiTheme="minorHAnsi" w:hAnsiTheme="minorHAnsi" w:cs="Segoe UI"/>
          <w:i/>
          <w:iCs/>
          <w:shd w:val="clear" w:color="auto" w:fill="FFFFFF"/>
          <w:lang w:val="es-ES"/>
        </w:rPr>
        <w:t xml:space="preserve">Legislativos y Puntos Constitucionales, por medio del cual se reforma la </w:t>
      </w:r>
      <w:r w:rsidR="00AD786B">
        <w:rPr>
          <w:rStyle w:val="normaltextrun"/>
          <w:rFonts w:asciiTheme="minorHAnsi" w:hAnsiTheme="minorHAnsi" w:cs="Segoe UI"/>
          <w:i/>
          <w:iCs/>
          <w:shd w:val="clear" w:color="auto" w:fill="FFFFFF"/>
          <w:lang w:val="es-ES"/>
        </w:rPr>
        <w:t>fracción XXIX y se adicionan</w:t>
      </w:r>
      <w:r w:rsidRPr="00451DB4">
        <w:rPr>
          <w:rStyle w:val="normaltextrun"/>
          <w:rFonts w:asciiTheme="minorHAnsi" w:hAnsiTheme="minorHAnsi" w:cs="Segoe UI"/>
          <w:i/>
          <w:iCs/>
          <w:shd w:val="clear" w:color="auto" w:fill="FFFFFF"/>
          <w:lang w:val="es-ES"/>
        </w:rPr>
        <w:t xml:space="preserve"> las fracciones XXX y XXXI del artículo 44 de la Ley Estatal de Responsabilidades de los Servidores Públicos. </w:t>
      </w:r>
    </w:p>
    <w:p w14:paraId="3CCDDDA3" w14:textId="2B866325" w:rsidR="002C294C" w:rsidRPr="00451DB4" w:rsidRDefault="002C294C" w:rsidP="002C294C">
      <w:pPr>
        <w:pStyle w:val="paragraph"/>
        <w:numPr>
          <w:ilvl w:val="0"/>
          <w:numId w:val="32"/>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Asuntos generales.</w:t>
      </w:r>
      <w:r w:rsidRPr="00451DB4">
        <w:rPr>
          <w:rStyle w:val="eop"/>
          <w:rFonts w:asciiTheme="minorHAnsi" w:hAnsiTheme="minorHAnsi" w:cs="Segoe UI"/>
          <w:i/>
        </w:rPr>
        <w:t> </w:t>
      </w:r>
    </w:p>
    <w:p w14:paraId="40BC978C" w14:textId="77777777" w:rsidR="002C294C" w:rsidRPr="00451DB4" w:rsidRDefault="002C294C" w:rsidP="002C294C">
      <w:pPr>
        <w:pStyle w:val="paragraph"/>
        <w:numPr>
          <w:ilvl w:val="0"/>
          <w:numId w:val="33"/>
        </w:numPr>
        <w:tabs>
          <w:tab w:val="clear" w:pos="720"/>
          <w:tab w:val="num" w:pos="993"/>
        </w:tabs>
        <w:spacing w:before="0" w:beforeAutospacing="0" w:after="160" w:afterAutospacing="0"/>
        <w:ind w:left="141" w:hanging="147"/>
        <w:jc w:val="both"/>
        <w:textAlignment w:val="baseline"/>
        <w:rPr>
          <w:rFonts w:asciiTheme="minorHAnsi" w:hAnsiTheme="minorHAnsi" w:cs="Segoe UI"/>
          <w:i/>
        </w:rPr>
      </w:pPr>
      <w:r w:rsidRPr="00451DB4">
        <w:rPr>
          <w:rStyle w:val="normaltextrun"/>
          <w:rFonts w:asciiTheme="minorHAnsi" w:hAnsiTheme="minorHAnsi" w:cs="Segoe UI"/>
          <w:i/>
          <w:iCs/>
          <w:lang w:val="es-ES"/>
        </w:rPr>
        <w:t>Convocatoria para la próxima sesión.</w:t>
      </w:r>
      <w:r w:rsidRPr="00451DB4">
        <w:rPr>
          <w:rStyle w:val="eop"/>
          <w:rFonts w:asciiTheme="minorHAnsi" w:hAnsiTheme="minorHAnsi" w:cs="Segoe UI"/>
          <w:i/>
        </w:rPr>
        <w:t> </w:t>
      </w:r>
    </w:p>
    <w:p w14:paraId="1E0EADD4" w14:textId="77777777" w:rsidR="002C294C" w:rsidRPr="00451DB4" w:rsidRDefault="002C294C" w:rsidP="002C294C">
      <w:pPr>
        <w:pStyle w:val="paragraph"/>
        <w:numPr>
          <w:ilvl w:val="0"/>
          <w:numId w:val="34"/>
        </w:numPr>
        <w:tabs>
          <w:tab w:val="clear" w:pos="720"/>
          <w:tab w:val="num" w:pos="993"/>
        </w:tabs>
        <w:spacing w:before="0" w:beforeAutospacing="0" w:after="160" w:afterAutospacing="0"/>
        <w:ind w:left="141" w:hanging="147"/>
        <w:jc w:val="both"/>
        <w:textAlignment w:val="baseline"/>
        <w:rPr>
          <w:rStyle w:val="eop"/>
          <w:rFonts w:asciiTheme="minorHAnsi" w:hAnsiTheme="minorHAnsi" w:cs="Segoe UI"/>
          <w:i/>
        </w:rPr>
      </w:pPr>
      <w:r w:rsidRPr="00451DB4">
        <w:rPr>
          <w:rStyle w:val="normaltextrun"/>
          <w:rFonts w:asciiTheme="minorHAnsi" w:hAnsiTheme="minorHAnsi" w:cs="Segoe UI"/>
          <w:i/>
          <w:iCs/>
          <w:lang w:val="es-ES"/>
        </w:rPr>
        <w:t>Clausura.</w:t>
      </w:r>
      <w:r w:rsidRPr="00451DB4">
        <w:rPr>
          <w:rStyle w:val="eop"/>
          <w:rFonts w:asciiTheme="minorHAnsi" w:hAnsiTheme="minorHAnsi" w:cs="Segoe UI"/>
          <w:i/>
        </w:rPr>
        <w:t> </w:t>
      </w:r>
    </w:p>
    <w:p w14:paraId="3C45B31C" w14:textId="43341826" w:rsidR="00C01CC1" w:rsidRPr="00451DB4" w:rsidRDefault="002C294C" w:rsidP="002C294C">
      <w:pPr>
        <w:pStyle w:val="paragraph"/>
        <w:spacing w:before="0" w:beforeAutospacing="0" w:after="120" w:afterAutospacing="0"/>
        <w:ind w:left="705"/>
        <w:jc w:val="right"/>
        <w:textAlignment w:val="baseline"/>
        <w:rPr>
          <w:rFonts w:asciiTheme="minorHAnsi" w:hAnsiTheme="minorHAnsi"/>
          <w:i/>
        </w:rPr>
      </w:pPr>
      <w:r w:rsidRPr="00451DB4">
        <w:rPr>
          <w:rStyle w:val="eop"/>
          <w:rFonts w:asciiTheme="minorHAnsi" w:hAnsiTheme="minorHAnsi" w:cs="Segoe UI"/>
          <w:i/>
        </w:rPr>
        <w:t> </w:t>
      </w:r>
      <w:r w:rsidRPr="00451DB4">
        <w:rPr>
          <w:rStyle w:val="normaltextrun"/>
          <w:rFonts w:asciiTheme="minorHAnsi" w:hAnsiTheme="minorHAnsi" w:cs="Segoe UI"/>
          <w:i/>
          <w:iCs/>
          <w:lang w:val="es-ES"/>
        </w:rPr>
        <w:t>Colima, Col.,</w:t>
      </w:r>
      <w:r w:rsidRPr="00451DB4">
        <w:rPr>
          <w:rStyle w:val="apple-converted-space"/>
          <w:rFonts w:asciiTheme="minorHAnsi" w:hAnsiTheme="minorHAnsi" w:cs="Segoe UI"/>
          <w:i/>
          <w:iCs/>
          <w:lang w:val="es-ES"/>
        </w:rPr>
        <w:t> </w:t>
      </w:r>
      <w:r w:rsidRPr="00451DB4">
        <w:rPr>
          <w:rStyle w:val="normaltextrun"/>
          <w:rFonts w:asciiTheme="minorHAnsi" w:hAnsiTheme="minorHAnsi" w:cs="Segoe UI"/>
          <w:i/>
          <w:iCs/>
          <w:lang w:val="es-ES"/>
        </w:rPr>
        <w:t>agosto</w:t>
      </w:r>
      <w:r w:rsidRPr="00451DB4">
        <w:rPr>
          <w:rStyle w:val="apple-converted-space"/>
          <w:rFonts w:asciiTheme="minorHAnsi" w:hAnsiTheme="minorHAnsi" w:cs="Segoe UI"/>
          <w:i/>
          <w:iCs/>
          <w:lang w:val="es-ES"/>
        </w:rPr>
        <w:t> </w:t>
      </w:r>
      <w:r w:rsidRPr="00451DB4">
        <w:rPr>
          <w:rStyle w:val="normaltextrun"/>
          <w:rFonts w:asciiTheme="minorHAnsi" w:hAnsiTheme="minorHAnsi" w:cs="Segoe UI"/>
          <w:i/>
          <w:iCs/>
          <w:lang w:val="es-ES"/>
        </w:rPr>
        <w:t>18</w:t>
      </w:r>
      <w:r w:rsidRPr="00451DB4">
        <w:rPr>
          <w:rStyle w:val="apple-converted-space"/>
          <w:rFonts w:asciiTheme="minorHAnsi" w:hAnsiTheme="minorHAnsi" w:cs="Segoe UI"/>
          <w:i/>
          <w:iCs/>
          <w:lang w:val="es-ES"/>
        </w:rPr>
        <w:t> </w:t>
      </w:r>
      <w:r w:rsidRPr="00451DB4">
        <w:rPr>
          <w:rStyle w:val="normaltextrun"/>
          <w:rFonts w:asciiTheme="minorHAnsi" w:hAnsiTheme="minorHAnsi" w:cs="Segoe UI"/>
          <w:i/>
          <w:iCs/>
          <w:lang w:val="es-ES"/>
        </w:rPr>
        <w:t>de 2016.</w:t>
      </w:r>
      <w:r w:rsidRPr="00451DB4">
        <w:rPr>
          <w:rStyle w:val="eop"/>
          <w:rFonts w:asciiTheme="minorHAnsi" w:hAnsiTheme="minorHAnsi" w:cs="Segoe UI"/>
          <w:i/>
        </w:rPr>
        <w:t> </w:t>
      </w:r>
    </w:p>
    <w:sectPr w:rsidR="00C01CC1" w:rsidRPr="00451DB4" w:rsidSect="00A77FB6">
      <w:headerReference w:type="default" r:id="rId8"/>
      <w:footerReference w:type="default" r:id="rId9"/>
      <w:pgSz w:w="12240" w:h="15840" w:code="1"/>
      <w:pgMar w:top="1417" w:right="900" w:bottom="1417" w:left="1701" w:header="719"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E2F0" w14:textId="77777777" w:rsidR="004E47BA" w:rsidRDefault="004E47BA" w:rsidP="00F92255">
      <w:r>
        <w:separator/>
      </w:r>
    </w:p>
  </w:endnote>
  <w:endnote w:type="continuationSeparator" w:id="0">
    <w:p w14:paraId="3FA2B4AA" w14:textId="77777777" w:rsidR="004E47BA" w:rsidRDefault="004E47BA" w:rsidP="00F9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F69C" w14:textId="77777777" w:rsidR="00C432AC" w:rsidRPr="001A40F2" w:rsidRDefault="00C432AC" w:rsidP="002957E0">
    <w:pPr>
      <w:pStyle w:val="Piedepgina"/>
      <w:ind w:left="-993" w:right="-516"/>
      <w:jc w:val="center"/>
      <w:rPr>
        <w:rFonts w:ascii="Arial Narrow" w:hAnsi="Arial Narrow" w:cs="Calibri"/>
        <w:b/>
        <w:color w:val="7F7F7F"/>
        <w:szCs w:val="20"/>
        <w:lang w:val="es-MX"/>
      </w:rPr>
    </w:pPr>
    <w:r w:rsidRPr="001A40F2">
      <w:rPr>
        <w:rFonts w:ascii="Arial Narrow" w:hAnsi="Arial Narrow" w:cs="Calibri"/>
        <w:b/>
        <w:color w:val="7F7F7F"/>
        <w:szCs w:val="20"/>
        <w:lang w:val="es-MX"/>
      </w:rPr>
      <w:t>“201</w:t>
    </w:r>
    <w:r>
      <w:rPr>
        <w:rFonts w:ascii="Arial Narrow" w:hAnsi="Arial Narrow" w:cs="Calibri"/>
        <w:b/>
        <w:color w:val="7F7F7F"/>
        <w:szCs w:val="20"/>
        <w:lang w:val="es-MX"/>
      </w:rPr>
      <w:t>6</w:t>
    </w:r>
    <w:r w:rsidRPr="001A40F2">
      <w:rPr>
        <w:rFonts w:ascii="Arial Narrow" w:hAnsi="Arial Narrow" w:cs="Calibri"/>
        <w:b/>
        <w:color w:val="7F7F7F"/>
        <w:szCs w:val="20"/>
        <w:lang w:val="es-MX"/>
      </w:rPr>
      <w:t xml:space="preserve">, </w:t>
    </w:r>
    <w:r>
      <w:rPr>
        <w:rFonts w:ascii="Arial Narrow" w:hAnsi="Arial Narrow" w:cs="Calibri"/>
        <w:b/>
        <w:color w:val="7F7F7F"/>
        <w:szCs w:val="20"/>
        <w:lang w:val="es-MX"/>
      </w:rPr>
      <w:t>Año de la Inclusión e Igualdad para las personas con Autismo</w:t>
    </w:r>
    <w:r w:rsidRPr="001A40F2">
      <w:rPr>
        <w:rFonts w:ascii="Arial Narrow" w:hAnsi="Arial Narrow" w:cs="Calibri"/>
        <w:b/>
        <w:color w:val="7F7F7F"/>
        <w:szCs w:val="20"/>
        <w:lang w:val="es-MX"/>
      </w:rPr>
      <w:t>”</w:t>
    </w:r>
  </w:p>
  <w:p w14:paraId="1D886856" w14:textId="77777777" w:rsidR="00C432AC" w:rsidRPr="001A40F2" w:rsidRDefault="004E47BA" w:rsidP="002957E0">
    <w:pPr>
      <w:pStyle w:val="Piedepgina"/>
      <w:ind w:left="-993" w:right="-516"/>
      <w:jc w:val="center"/>
      <w:rPr>
        <w:rFonts w:ascii="Arial Narrow" w:hAnsi="Arial Narrow" w:cs="Calibri"/>
        <w:sz w:val="20"/>
        <w:szCs w:val="20"/>
        <w:lang w:val="es-MX"/>
      </w:rPr>
    </w:pPr>
    <w:r>
      <w:rPr>
        <w:rFonts w:ascii="Arial Narrow" w:hAnsi="Arial Narrow" w:cs="Calibri"/>
        <w:sz w:val="20"/>
        <w:szCs w:val="20"/>
        <w:lang w:val="es-MX"/>
      </w:rPr>
      <w:pict w14:anchorId="0504B9BA">
        <v:rect id="_x0000_i1025" style="width:0;height:1.5pt" o:hralign="center" o:hrstd="t" o:hr="t" fillcolor="#a0a0a0" stroked="f"/>
      </w:pict>
    </w:r>
  </w:p>
  <w:p w14:paraId="15175E6C" w14:textId="335051B3" w:rsidR="00C432AC" w:rsidRPr="00B46D80" w:rsidRDefault="001027FB" w:rsidP="00B46D80">
    <w:pPr>
      <w:pStyle w:val="Piedepgina"/>
      <w:ind w:left="-993" w:right="-516"/>
      <w:jc w:val="center"/>
      <w:rPr>
        <w:rFonts w:ascii="Arial Narrow" w:hAnsi="Arial Narrow" w:cs="Calibri"/>
        <w:b/>
        <w:color w:val="7F7F7F"/>
        <w:sz w:val="12"/>
        <w:szCs w:val="16"/>
        <w:lang w:val="es-MX"/>
      </w:rPr>
    </w:pPr>
    <w:r w:rsidRPr="00B46D80">
      <w:rPr>
        <w:rFonts w:ascii="Arial Narrow" w:hAnsi="Arial Narrow" w:cs="Arial"/>
        <w:b/>
        <w:sz w:val="20"/>
      </w:rPr>
      <w:t>DIRECCIÓN</w:t>
    </w:r>
    <w:r w:rsidR="00C432AC" w:rsidRPr="00B46D80">
      <w:rPr>
        <w:rFonts w:ascii="Arial Narrow" w:hAnsi="Arial Narrow" w:cs="Arial"/>
        <w:b/>
        <w:sz w:val="20"/>
      </w:rPr>
      <w:t xml:space="preserve"> DE PROCESOS LEGISLATIVOS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F434" w14:textId="77777777" w:rsidR="004E47BA" w:rsidRDefault="004E47BA" w:rsidP="00F92255">
      <w:r>
        <w:separator/>
      </w:r>
    </w:p>
  </w:footnote>
  <w:footnote w:type="continuationSeparator" w:id="0">
    <w:p w14:paraId="3F7EE8D8" w14:textId="77777777" w:rsidR="004E47BA" w:rsidRDefault="004E47BA" w:rsidP="00F9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ombreadoclaro-nfasis5"/>
      <w:tblW w:w="8364" w:type="dxa"/>
      <w:tblInd w:w="1242" w:type="dxa"/>
      <w:tblLook w:val="04A0" w:firstRow="1" w:lastRow="0" w:firstColumn="1" w:lastColumn="0" w:noHBand="0" w:noVBand="1"/>
    </w:tblPr>
    <w:tblGrid>
      <w:gridCol w:w="8364"/>
    </w:tblGrid>
    <w:tr w:rsidR="00C432AC" w:rsidRPr="00E913A2" w14:paraId="4AEC13DD" w14:textId="77777777" w:rsidTr="00B46D80">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8364" w:type="dxa"/>
          <w:tcBorders>
            <w:top w:val="single" w:sz="18" w:space="0" w:color="auto"/>
            <w:bottom w:val="single" w:sz="18" w:space="0" w:color="auto"/>
          </w:tcBorders>
        </w:tcPr>
        <w:p w14:paraId="26A2B44F" w14:textId="0F3D786E" w:rsidR="00C432AC" w:rsidRPr="00980600" w:rsidRDefault="00C432AC" w:rsidP="00377F0D">
          <w:pPr>
            <w:spacing w:before="60"/>
            <w:jc w:val="center"/>
            <w:rPr>
              <w:rFonts w:ascii="Arial Narrow" w:hAnsi="Arial Narrow" w:cs="Arial"/>
              <w:color w:val="auto"/>
            </w:rPr>
          </w:pPr>
          <w:r>
            <w:rPr>
              <w:rFonts w:ascii="Arial Narrow" w:hAnsi="Arial Narrow" w:cs="Arial"/>
              <w:noProof/>
              <w:lang w:val="es-MX" w:eastAsia="es-MX"/>
            </w:rPr>
            <w:drawing>
              <wp:anchor distT="0" distB="0" distL="114300" distR="114300" simplePos="0" relativeHeight="251659264" behindDoc="0" locked="0" layoutInCell="1" allowOverlap="1" wp14:anchorId="26189462" wp14:editId="18014D71">
                <wp:simplePos x="0" y="0"/>
                <wp:positionH relativeFrom="margin">
                  <wp:posOffset>-1002030</wp:posOffset>
                </wp:positionH>
                <wp:positionV relativeFrom="margin">
                  <wp:posOffset>-361315</wp:posOffset>
                </wp:positionV>
                <wp:extent cx="676275" cy="895350"/>
                <wp:effectExtent l="19050" t="0" r="9525" b="0"/>
                <wp:wrapNone/>
                <wp:docPr id="3" name="Imagen 3" descr="C:\Users\Elsa C\AppData\Local\Microsoft\Windows\INetCache\Content.Word\LOGO LVI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a C\AppData\Local\Microsoft\Windows\INetCache\Content.Word\LOGO LVIII LEGISL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anchor>
            </w:drawing>
          </w:r>
          <w:r w:rsidRPr="00980600">
            <w:rPr>
              <w:rFonts w:ascii="Arial Narrow" w:hAnsi="Arial Narrow" w:cs="Arial"/>
              <w:color w:val="auto"/>
            </w:rPr>
            <w:t xml:space="preserve">SESIÓN PÚBLICA ORDINARIA NÚMERO </w:t>
          </w:r>
          <w:r w:rsidR="00725444">
            <w:rPr>
              <w:rFonts w:ascii="Arial Narrow" w:hAnsi="Arial Narrow" w:cs="Arial"/>
              <w:color w:val="auto"/>
            </w:rPr>
            <w:t>VEINTE</w:t>
          </w:r>
          <w:r w:rsidRPr="00980600">
            <w:rPr>
              <w:rFonts w:ascii="Arial Narrow" w:hAnsi="Arial Narrow" w:cs="Arial"/>
              <w:color w:val="auto"/>
            </w:rPr>
            <w:t xml:space="preserve">, CORRESPONDIENTE AL </w:t>
          </w:r>
          <w:r>
            <w:rPr>
              <w:rFonts w:ascii="Arial Narrow" w:hAnsi="Arial Narrow" w:cs="Arial"/>
              <w:color w:val="auto"/>
            </w:rPr>
            <w:t>SEGUNDO</w:t>
          </w:r>
          <w:r w:rsidRPr="00980600">
            <w:rPr>
              <w:rFonts w:ascii="Arial Narrow" w:hAnsi="Arial Narrow" w:cs="Arial"/>
              <w:color w:val="auto"/>
            </w:rPr>
            <w:t xml:space="preserve"> PERÍODO ORDINARIO, DEL PRIMER AÑO DE EJERCICIO CONSTITUCIONAL. </w:t>
          </w:r>
        </w:p>
      </w:tc>
    </w:tr>
  </w:tbl>
  <w:p w14:paraId="5DC2E4F8" w14:textId="77777777" w:rsidR="00C432AC" w:rsidRDefault="00C432AC" w:rsidP="002957E0">
    <w:pPr>
      <w:pStyle w:val="Encabezado"/>
      <w:rPr>
        <w:rFonts w:ascii="Calibri" w:hAnsi="Calibri" w:cs="Calibri"/>
        <w:sz w:val="8"/>
        <w:szCs w:val="22"/>
      </w:rPr>
    </w:pPr>
  </w:p>
  <w:p w14:paraId="18D6D636" w14:textId="77777777" w:rsidR="00C432AC" w:rsidRDefault="00C432AC" w:rsidP="002957E0">
    <w:pPr>
      <w:pStyle w:val="Encabezado"/>
      <w:rPr>
        <w:rFonts w:ascii="Calibri" w:hAnsi="Calibri" w:cs="Calibri"/>
        <w:sz w:val="8"/>
        <w:szCs w:val="22"/>
      </w:rPr>
    </w:pPr>
  </w:p>
  <w:p w14:paraId="04E4A079" w14:textId="77777777" w:rsidR="00C432AC" w:rsidRDefault="00C432AC" w:rsidP="002957E0">
    <w:pPr>
      <w:pStyle w:val="Encabezado"/>
      <w:rPr>
        <w:rFonts w:ascii="Calibri" w:hAnsi="Calibri" w:cs="Calibri"/>
        <w:sz w:val="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086"/>
    <w:multiLevelType w:val="hybridMultilevel"/>
    <w:tmpl w:val="18BAE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07044"/>
    <w:multiLevelType w:val="multilevel"/>
    <w:tmpl w:val="7882B6E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E5B76C5"/>
    <w:multiLevelType w:val="hybridMultilevel"/>
    <w:tmpl w:val="7A44E284"/>
    <w:lvl w:ilvl="0" w:tplc="080A0013">
      <w:start w:val="1"/>
      <w:numFmt w:val="upperRoman"/>
      <w:lvlText w:val="%1."/>
      <w:lvlJc w:val="righ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D51402"/>
    <w:multiLevelType w:val="hybridMultilevel"/>
    <w:tmpl w:val="6532CF6C"/>
    <w:lvl w:ilvl="0" w:tplc="DA1C1092">
      <w:start w:val="1"/>
      <w:numFmt w:val="upperRoman"/>
      <w:lvlText w:val="%1.-"/>
      <w:lvlJc w:val="lef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460011"/>
    <w:multiLevelType w:val="hybridMultilevel"/>
    <w:tmpl w:val="54801B32"/>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342F4"/>
    <w:multiLevelType w:val="multilevel"/>
    <w:tmpl w:val="C02E295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8A64925"/>
    <w:multiLevelType w:val="hybridMultilevel"/>
    <w:tmpl w:val="90046A9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95E4F10"/>
    <w:multiLevelType w:val="hybridMultilevel"/>
    <w:tmpl w:val="B32AC276"/>
    <w:lvl w:ilvl="0" w:tplc="DA1C1092">
      <w:start w:val="1"/>
      <w:numFmt w:val="upperRoman"/>
      <w:lvlText w:val="%1.-"/>
      <w:lvlJc w:val="lef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963FC8"/>
    <w:multiLevelType w:val="multilevel"/>
    <w:tmpl w:val="4156F7FE"/>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E37B6C"/>
    <w:multiLevelType w:val="hybridMultilevel"/>
    <w:tmpl w:val="680E5C2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1561FCD"/>
    <w:multiLevelType w:val="hybridMultilevel"/>
    <w:tmpl w:val="4BCE7BBA"/>
    <w:lvl w:ilvl="0" w:tplc="27CC0C54">
      <w:start w:val="1"/>
      <w:numFmt w:val="upperRoman"/>
      <w:lvlText w:val="%1.-"/>
      <w:lvlJc w:val="righ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157841"/>
    <w:multiLevelType w:val="hybridMultilevel"/>
    <w:tmpl w:val="41C809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726AD"/>
    <w:multiLevelType w:val="hybridMultilevel"/>
    <w:tmpl w:val="E0EC6B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6A1F7F"/>
    <w:multiLevelType w:val="multilevel"/>
    <w:tmpl w:val="FEAA5DFE"/>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B3220D"/>
    <w:multiLevelType w:val="hybridMultilevel"/>
    <w:tmpl w:val="EDA0B6B4"/>
    <w:lvl w:ilvl="0" w:tplc="4C86FF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179EA"/>
    <w:multiLevelType w:val="hybridMultilevel"/>
    <w:tmpl w:val="9B8CAEC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AC634E"/>
    <w:multiLevelType w:val="multilevel"/>
    <w:tmpl w:val="C9540E14"/>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26E473F"/>
    <w:multiLevelType w:val="hybridMultilevel"/>
    <w:tmpl w:val="1750DC9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70C6081"/>
    <w:multiLevelType w:val="multilevel"/>
    <w:tmpl w:val="F126CE2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7F72214"/>
    <w:multiLevelType w:val="multilevel"/>
    <w:tmpl w:val="21CABE1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13C3F2C"/>
    <w:multiLevelType w:val="hybridMultilevel"/>
    <w:tmpl w:val="917E0616"/>
    <w:lvl w:ilvl="0" w:tplc="27CC0C54">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943D4F"/>
    <w:multiLevelType w:val="hybridMultilevel"/>
    <w:tmpl w:val="1EECB40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E9422E"/>
    <w:multiLevelType w:val="hybridMultilevel"/>
    <w:tmpl w:val="208E56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A739BA"/>
    <w:multiLevelType w:val="multilevel"/>
    <w:tmpl w:val="BF3E62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25A705D"/>
    <w:multiLevelType w:val="hybridMultilevel"/>
    <w:tmpl w:val="D310A72E"/>
    <w:lvl w:ilvl="0" w:tplc="27CC0C54">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47D4B"/>
    <w:multiLevelType w:val="hybridMultilevel"/>
    <w:tmpl w:val="0666CFBE"/>
    <w:lvl w:ilvl="0" w:tplc="4C86FFE6">
      <w:start w:val="1"/>
      <w:numFmt w:val="upperRoman"/>
      <w:lvlText w:val="%1."/>
      <w:lvlJc w:val="right"/>
      <w:pPr>
        <w:ind w:left="720" w:hanging="360"/>
      </w:pPr>
      <w:rPr>
        <w:b w:val="0"/>
      </w:rPr>
    </w:lvl>
    <w:lvl w:ilvl="1" w:tplc="5EF8CAEA">
      <w:numFmt w:val="bullet"/>
      <w:lvlText w:val=""/>
      <w:lvlJc w:val="left"/>
      <w:pPr>
        <w:ind w:left="1440" w:hanging="360"/>
      </w:pPr>
      <w:rPr>
        <w:rFonts w:ascii="Symbol" w:eastAsia="Times New Roman" w:hAnsi="Symbol"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1A4659"/>
    <w:multiLevelType w:val="multilevel"/>
    <w:tmpl w:val="FC54AD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F7F3CBB"/>
    <w:multiLevelType w:val="multilevel"/>
    <w:tmpl w:val="2566102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1174F14"/>
    <w:multiLevelType w:val="multilevel"/>
    <w:tmpl w:val="EEA6E4C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2A2073E"/>
    <w:multiLevelType w:val="hybridMultilevel"/>
    <w:tmpl w:val="24B0D628"/>
    <w:lvl w:ilvl="0" w:tplc="BFE656C4">
      <w:start w:val="1"/>
      <w:numFmt w:val="upperRoman"/>
      <w:lvlText w:val="%1."/>
      <w:lvlJc w:val="left"/>
      <w:pPr>
        <w:ind w:left="1428" w:hanging="720"/>
      </w:pPr>
      <w:rPr>
        <w:rFonts w:ascii="Calibri" w:hAnsi="Calibri" w:cs="Times New Roman"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0" w15:restartNumberingAfterBreak="0">
    <w:nsid w:val="77611E17"/>
    <w:multiLevelType w:val="hybridMultilevel"/>
    <w:tmpl w:val="07767D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17B80"/>
    <w:multiLevelType w:val="multilevel"/>
    <w:tmpl w:val="7B3C164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B386D53"/>
    <w:multiLevelType w:val="hybridMultilevel"/>
    <w:tmpl w:val="9522D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45FF4"/>
    <w:multiLevelType w:val="multilevel"/>
    <w:tmpl w:val="CED8DB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10"/>
  </w:num>
  <w:num w:numId="3">
    <w:abstractNumId w:val="25"/>
  </w:num>
  <w:num w:numId="4">
    <w:abstractNumId w:val="6"/>
  </w:num>
  <w:num w:numId="5">
    <w:abstractNumId w:val="3"/>
  </w:num>
  <w:num w:numId="6">
    <w:abstractNumId w:val="24"/>
  </w:num>
  <w:num w:numId="7">
    <w:abstractNumId w:val="21"/>
  </w:num>
  <w:num w:numId="8">
    <w:abstractNumId w:val="11"/>
  </w:num>
  <w:num w:numId="9">
    <w:abstractNumId w:val="0"/>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4"/>
  </w:num>
  <w:num w:numId="14">
    <w:abstractNumId w:val="22"/>
  </w:num>
  <w:num w:numId="15">
    <w:abstractNumId w:val="30"/>
  </w:num>
  <w:num w:numId="16">
    <w:abstractNumId w:val="12"/>
  </w:num>
  <w:num w:numId="17">
    <w:abstractNumId w:val="4"/>
  </w:num>
  <w:num w:numId="18">
    <w:abstractNumId w:val="2"/>
  </w:num>
  <w:num w:numId="19">
    <w:abstractNumId w:val="15"/>
  </w:num>
  <w:num w:numId="20">
    <w:abstractNumId w:val="9"/>
  </w:num>
  <w:num w:numId="21">
    <w:abstractNumId w:val="17"/>
  </w:num>
  <w:num w:numId="22">
    <w:abstractNumId w:val="33"/>
  </w:num>
  <w:num w:numId="23">
    <w:abstractNumId w:val="23"/>
  </w:num>
  <w:num w:numId="24">
    <w:abstractNumId w:val="26"/>
  </w:num>
  <w:num w:numId="25">
    <w:abstractNumId w:val="31"/>
  </w:num>
  <w:num w:numId="26">
    <w:abstractNumId w:val="28"/>
  </w:num>
  <w:num w:numId="27">
    <w:abstractNumId w:val="1"/>
  </w:num>
  <w:num w:numId="28">
    <w:abstractNumId w:val="5"/>
  </w:num>
  <w:num w:numId="29">
    <w:abstractNumId w:val="27"/>
  </w:num>
  <w:num w:numId="30">
    <w:abstractNumId w:val="16"/>
  </w:num>
  <w:num w:numId="31">
    <w:abstractNumId w:val="19"/>
  </w:num>
  <w:num w:numId="32">
    <w:abstractNumId w:val="18"/>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de-DE"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B"/>
    <w:rsid w:val="0000099E"/>
    <w:rsid w:val="00001017"/>
    <w:rsid w:val="00001898"/>
    <w:rsid w:val="00011152"/>
    <w:rsid w:val="00017981"/>
    <w:rsid w:val="0002617C"/>
    <w:rsid w:val="0003364F"/>
    <w:rsid w:val="00036801"/>
    <w:rsid w:val="000440A0"/>
    <w:rsid w:val="000468D4"/>
    <w:rsid w:val="00055603"/>
    <w:rsid w:val="00060864"/>
    <w:rsid w:val="00065B8A"/>
    <w:rsid w:val="000716CD"/>
    <w:rsid w:val="000737B9"/>
    <w:rsid w:val="00075393"/>
    <w:rsid w:val="00076616"/>
    <w:rsid w:val="00096DE5"/>
    <w:rsid w:val="000A5825"/>
    <w:rsid w:val="000B45E6"/>
    <w:rsid w:val="000D2C99"/>
    <w:rsid w:val="000D2CD2"/>
    <w:rsid w:val="000D7FFE"/>
    <w:rsid w:val="000E4B71"/>
    <w:rsid w:val="000F29BE"/>
    <w:rsid w:val="001027FB"/>
    <w:rsid w:val="0010341A"/>
    <w:rsid w:val="00103DD8"/>
    <w:rsid w:val="00114CEB"/>
    <w:rsid w:val="00115388"/>
    <w:rsid w:val="00120FF8"/>
    <w:rsid w:val="001257D4"/>
    <w:rsid w:val="00127412"/>
    <w:rsid w:val="00132D62"/>
    <w:rsid w:val="001444E1"/>
    <w:rsid w:val="0015217D"/>
    <w:rsid w:val="0016259E"/>
    <w:rsid w:val="00165E7F"/>
    <w:rsid w:val="00171B39"/>
    <w:rsid w:val="00173A36"/>
    <w:rsid w:val="00174813"/>
    <w:rsid w:val="00176789"/>
    <w:rsid w:val="00192200"/>
    <w:rsid w:val="001934A0"/>
    <w:rsid w:val="001A40F2"/>
    <w:rsid w:val="001A560A"/>
    <w:rsid w:val="001A5F9A"/>
    <w:rsid w:val="001A763B"/>
    <w:rsid w:val="001C1DC2"/>
    <w:rsid w:val="001C46F9"/>
    <w:rsid w:val="001D1A96"/>
    <w:rsid w:val="001D4695"/>
    <w:rsid w:val="001D5A28"/>
    <w:rsid w:val="001E3EF9"/>
    <w:rsid w:val="001E6C00"/>
    <w:rsid w:val="001F50D6"/>
    <w:rsid w:val="00203D4E"/>
    <w:rsid w:val="002100A8"/>
    <w:rsid w:val="002121B9"/>
    <w:rsid w:val="002134B6"/>
    <w:rsid w:val="00217C44"/>
    <w:rsid w:val="00223EF5"/>
    <w:rsid w:val="00227CA9"/>
    <w:rsid w:val="00235718"/>
    <w:rsid w:val="00236CC7"/>
    <w:rsid w:val="00242A4E"/>
    <w:rsid w:val="0025268A"/>
    <w:rsid w:val="00255720"/>
    <w:rsid w:val="00256AC0"/>
    <w:rsid w:val="00261EEC"/>
    <w:rsid w:val="00262086"/>
    <w:rsid w:val="002906A5"/>
    <w:rsid w:val="00292466"/>
    <w:rsid w:val="002957E0"/>
    <w:rsid w:val="002A6690"/>
    <w:rsid w:val="002C294C"/>
    <w:rsid w:val="002C5100"/>
    <w:rsid w:val="002C64FA"/>
    <w:rsid w:val="002C7395"/>
    <w:rsid w:val="002F01E7"/>
    <w:rsid w:val="002F0F2D"/>
    <w:rsid w:val="002F4838"/>
    <w:rsid w:val="003021B8"/>
    <w:rsid w:val="00306257"/>
    <w:rsid w:val="00307A16"/>
    <w:rsid w:val="003150A5"/>
    <w:rsid w:val="00330CDB"/>
    <w:rsid w:val="00333554"/>
    <w:rsid w:val="00333620"/>
    <w:rsid w:val="00337993"/>
    <w:rsid w:val="00342B92"/>
    <w:rsid w:val="003432D7"/>
    <w:rsid w:val="00356708"/>
    <w:rsid w:val="00361769"/>
    <w:rsid w:val="00364638"/>
    <w:rsid w:val="00364919"/>
    <w:rsid w:val="00366619"/>
    <w:rsid w:val="00372002"/>
    <w:rsid w:val="00377F0D"/>
    <w:rsid w:val="00380E9C"/>
    <w:rsid w:val="00381D43"/>
    <w:rsid w:val="00383982"/>
    <w:rsid w:val="00384DC6"/>
    <w:rsid w:val="003970BF"/>
    <w:rsid w:val="003A06C0"/>
    <w:rsid w:val="003A160A"/>
    <w:rsid w:val="003A35E3"/>
    <w:rsid w:val="003A6BDA"/>
    <w:rsid w:val="003B3EC0"/>
    <w:rsid w:val="003B4685"/>
    <w:rsid w:val="003B4BDF"/>
    <w:rsid w:val="003E0C0F"/>
    <w:rsid w:val="003E7A3A"/>
    <w:rsid w:val="003F55CD"/>
    <w:rsid w:val="003F5DD7"/>
    <w:rsid w:val="00401123"/>
    <w:rsid w:val="0040571C"/>
    <w:rsid w:val="00410766"/>
    <w:rsid w:val="004120B2"/>
    <w:rsid w:val="00414F3A"/>
    <w:rsid w:val="00415100"/>
    <w:rsid w:val="004264DF"/>
    <w:rsid w:val="0043679B"/>
    <w:rsid w:val="004414A4"/>
    <w:rsid w:val="00442202"/>
    <w:rsid w:val="00442288"/>
    <w:rsid w:val="004503F0"/>
    <w:rsid w:val="00451A01"/>
    <w:rsid w:val="00451DB4"/>
    <w:rsid w:val="004556F7"/>
    <w:rsid w:val="00461CA2"/>
    <w:rsid w:val="00483BAD"/>
    <w:rsid w:val="004866B9"/>
    <w:rsid w:val="00496891"/>
    <w:rsid w:val="00496C13"/>
    <w:rsid w:val="004A603D"/>
    <w:rsid w:val="004B2EA6"/>
    <w:rsid w:val="004B38C9"/>
    <w:rsid w:val="004C0591"/>
    <w:rsid w:val="004C16FA"/>
    <w:rsid w:val="004D1627"/>
    <w:rsid w:val="004D2308"/>
    <w:rsid w:val="004D4C89"/>
    <w:rsid w:val="004E47BA"/>
    <w:rsid w:val="004E6302"/>
    <w:rsid w:val="004F4592"/>
    <w:rsid w:val="0050275F"/>
    <w:rsid w:val="005116BA"/>
    <w:rsid w:val="00521474"/>
    <w:rsid w:val="005258F7"/>
    <w:rsid w:val="005322E2"/>
    <w:rsid w:val="00532FB6"/>
    <w:rsid w:val="00534DD5"/>
    <w:rsid w:val="005411C7"/>
    <w:rsid w:val="00544E5C"/>
    <w:rsid w:val="00551863"/>
    <w:rsid w:val="00556CD9"/>
    <w:rsid w:val="00557D2C"/>
    <w:rsid w:val="005675A2"/>
    <w:rsid w:val="00581669"/>
    <w:rsid w:val="0058360C"/>
    <w:rsid w:val="00593089"/>
    <w:rsid w:val="00595C1F"/>
    <w:rsid w:val="005B0ABB"/>
    <w:rsid w:val="005B15E2"/>
    <w:rsid w:val="005B1B88"/>
    <w:rsid w:val="005B3861"/>
    <w:rsid w:val="005B7FF3"/>
    <w:rsid w:val="005C3972"/>
    <w:rsid w:val="005C66C3"/>
    <w:rsid w:val="005D2BA8"/>
    <w:rsid w:val="005D5FF1"/>
    <w:rsid w:val="005E1677"/>
    <w:rsid w:val="0060681C"/>
    <w:rsid w:val="006106CB"/>
    <w:rsid w:val="00623EAF"/>
    <w:rsid w:val="0062787D"/>
    <w:rsid w:val="0063296D"/>
    <w:rsid w:val="00633813"/>
    <w:rsid w:val="006345FA"/>
    <w:rsid w:val="006369DA"/>
    <w:rsid w:val="00641E9F"/>
    <w:rsid w:val="00657196"/>
    <w:rsid w:val="00661C53"/>
    <w:rsid w:val="00667C5E"/>
    <w:rsid w:val="006955E0"/>
    <w:rsid w:val="006A45EC"/>
    <w:rsid w:val="006B17E6"/>
    <w:rsid w:val="006B34D5"/>
    <w:rsid w:val="006C3FC7"/>
    <w:rsid w:val="006C6DB1"/>
    <w:rsid w:val="006D42A3"/>
    <w:rsid w:val="006E0AD5"/>
    <w:rsid w:val="006E3257"/>
    <w:rsid w:val="006F062F"/>
    <w:rsid w:val="006F14DD"/>
    <w:rsid w:val="006F349F"/>
    <w:rsid w:val="0070777D"/>
    <w:rsid w:val="007111FD"/>
    <w:rsid w:val="007240CB"/>
    <w:rsid w:val="00725444"/>
    <w:rsid w:val="00726FFD"/>
    <w:rsid w:val="00746095"/>
    <w:rsid w:val="00746716"/>
    <w:rsid w:val="0075091E"/>
    <w:rsid w:val="007539BD"/>
    <w:rsid w:val="00757ABB"/>
    <w:rsid w:val="00765502"/>
    <w:rsid w:val="00775EA5"/>
    <w:rsid w:val="0078078B"/>
    <w:rsid w:val="007B2074"/>
    <w:rsid w:val="007B27EE"/>
    <w:rsid w:val="007B4DBB"/>
    <w:rsid w:val="007B6F09"/>
    <w:rsid w:val="007C049B"/>
    <w:rsid w:val="007C3B59"/>
    <w:rsid w:val="007C58F2"/>
    <w:rsid w:val="007D5086"/>
    <w:rsid w:val="0080189F"/>
    <w:rsid w:val="00805F09"/>
    <w:rsid w:val="008105EE"/>
    <w:rsid w:val="0081099B"/>
    <w:rsid w:val="00826088"/>
    <w:rsid w:val="00827998"/>
    <w:rsid w:val="00827E72"/>
    <w:rsid w:val="008468E0"/>
    <w:rsid w:val="008470F6"/>
    <w:rsid w:val="00847D8D"/>
    <w:rsid w:val="00867873"/>
    <w:rsid w:val="008761E7"/>
    <w:rsid w:val="00891E6C"/>
    <w:rsid w:val="008933FE"/>
    <w:rsid w:val="0089376A"/>
    <w:rsid w:val="008A75D7"/>
    <w:rsid w:val="008B1C85"/>
    <w:rsid w:val="008B62FC"/>
    <w:rsid w:val="008C1C1A"/>
    <w:rsid w:val="008D452D"/>
    <w:rsid w:val="008D5101"/>
    <w:rsid w:val="008D5CCB"/>
    <w:rsid w:val="008D5EA3"/>
    <w:rsid w:val="008E02EE"/>
    <w:rsid w:val="008E0E7F"/>
    <w:rsid w:val="008E3F5A"/>
    <w:rsid w:val="008E5565"/>
    <w:rsid w:val="008F11E7"/>
    <w:rsid w:val="008F7971"/>
    <w:rsid w:val="009067BD"/>
    <w:rsid w:val="00913D9E"/>
    <w:rsid w:val="00930270"/>
    <w:rsid w:val="0093353B"/>
    <w:rsid w:val="00942CBE"/>
    <w:rsid w:val="0094436C"/>
    <w:rsid w:val="0094728A"/>
    <w:rsid w:val="00953FE7"/>
    <w:rsid w:val="00965F49"/>
    <w:rsid w:val="00976384"/>
    <w:rsid w:val="00980600"/>
    <w:rsid w:val="0098153C"/>
    <w:rsid w:val="00987C42"/>
    <w:rsid w:val="00993017"/>
    <w:rsid w:val="009A24F7"/>
    <w:rsid w:val="009A5E66"/>
    <w:rsid w:val="009A68EA"/>
    <w:rsid w:val="009C3BD4"/>
    <w:rsid w:val="009C4A1D"/>
    <w:rsid w:val="009C6411"/>
    <w:rsid w:val="009D1353"/>
    <w:rsid w:val="009D2473"/>
    <w:rsid w:val="009D32BB"/>
    <w:rsid w:val="009D4343"/>
    <w:rsid w:val="009E08D0"/>
    <w:rsid w:val="009E45F9"/>
    <w:rsid w:val="00A038D9"/>
    <w:rsid w:val="00A03FD6"/>
    <w:rsid w:val="00A21CA0"/>
    <w:rsid w:val="00A27B7A"/>
    <w:rsid w:val="00A41F3A"/>
    <w:rsid w:val="00A44C05"/>
    <w:rsid w:val="00A4566C"/>
    <w:rsid w:val="00A62F55"/>
    <w:rsid w:val="00A64A5C"/>
    <w:rsid w:val="00A66469"/>
    <w:rsid w:val="00A77FB6"/>
    <w:rsid w:val="00A819CC"/>
    <w:rsid w:val="00A832D2"/>
    <w:rsid w:val="00A8579D"/>
    <w:rsid w:val="00A86EE5"/>
    <w:rsid w:val="00A94492"/>
    <w:rsid w:val="00A95CBD"/>
    <w:rsid w:val="00AA634A"/>
    <w:rsid w:val="00AA6EDF"/>
    <w:rsid w:val="00AC17EE"/>
    <w:rsid w:val="00AC2281"/>
    <w:rsid w:val="00AC3189"/>
    <w:rsid w:val="00AD786B"/>
    <w:rsid w:val="00AE2A17"/>
    <w:rsid w:val="00AF2CE4"/>
    <w:rsid w:val="00B01FA0"/>
    <w:rsid w:val="00B10D91"/>
    <w:rsid w:val="00B137D5"/>
    <w:rsid w:val="00B16CE6"/>
    <w:rsid w:val="00B17D2F"/>
    <w:rsid w:val="00B32634"/>
    <w:rsid w:val="00B46D80"/>
    <w:rsid w:val="00B46F68"/>
    <w:rsid w:val="00B557D5"/>
    <w:rsid w:val="00B71ECE"/>
    <w:rsid w:val="00B82D05"/>
    <w:rsid w:val="00B85488"/>
    <w:rsid w:val="00B85AF8"/>
    <w:rsid w:val="00B972BC"/>
    <w:rsid w:val="00B97FD1"/>
    <w:rsid w:val="00BA125F"/>
    <w:rsid w:val="00BA76F0"/>
    <w:rsid w:val="00BC4E2F"/>
    <w:rsid w:val="00BC670B"/>
    <w:rsid w:val="00BD1148"/>
    <w:rsid w:val="00BD6878"/>
    <w:rsid w:val="00BD6A97"/>
    <w:rsid w:val="00BD7FB6"/>
    <w:rsid w:val="00BE7B2A"/>
    <w:rsid w:val="00BF18C2"/>
    <w:rsid w:val="00BF2D62"/>
    <w:rsid w:val="00C01CC1"/>
    <w:rsid w:val="00C05983"/>
    <w:rsid w:val="00C074D3"/>
    <w:rsid w:val="00C07B63"/>
    <w:rsid w:val="00C14C7F"/>
    <w:rsid w:val="00C2396A"/>
    <w:rsid w:val="00C25236"/>
    <w:rsid w:val="00C26A52"/>
    <w:rsid w:val="00C27CC1"/>
    <w:rsid w:val="00C31AF6"/>
    <w:rsid w:val="00C432AC"/>
    <w:rsid w:val="00C451EF"/>
    <w:rsid w:val="00C458F0"/>
    <w:rsid w:val="00C5285E"/>
    <w:rsid w:val="00C6570C"/>
    <w:rsid w:val="00C76D13"/>
    <w:rsid w:val="00C844F7"/>
    <w:rsid w:val="00CA1ED2"/>
    <w:rsid w:val="00CA30A8"/>
    <w:rsid w:val="00CC22F7"/>
    <w:rsid w:val="00CC441B"/>
    <w:rsid w:val="00CC5C94"/>
    <w:rsid w:val="00CD0FE0"/>
    <w:rsid w:val="00CD2C40"/>
    <w:rsid w:val="00CD4E9D"/>
    <w:rsid w:val="00CE37E4"/>
    <w:rsid w:val="00CE4C46"/>
    <w:rsid w:val="00CE5804"/>
    <w:rsid w:val="00CF1031"/>
    <w:rsid w:val="00CF29D1"/>
    <w:rsid w:val="00CF53CF"/>
    <w:rsid w:val="00CF5813"/>
    <w:rsid w:val="00D10697"/>
    <w:rsid w:val="00D167D7"/>
    <w:rsid w:val="00D360E6"/>
    <w:rsid w:val="00D364C2"/>
    <w:rsid w:val="00D477E6"/>
    <w:rsid w:val="00D47949"/>
    <w:rsid w:val="00D47D65"/>
    <w:rsid w:val="00D51CEC"/>
    <w:rsid w:val="00D537D9"/>
    <w:rsid w:val="00D853B5"/>
    <w:rsid w:val="00D92C77"/>
    <w:rsid w:val="00D955C3"/>
    <w:rsid w:val="00DA0EDC"/>
    <w:rsid w:val="00DB0ED1"/>
    <w:rsid w:val="00DB7141"/>
    <w:rsid w:val="00DE1F63"/>
    <w:rsid w:val="00DF026A"/>
    <w:rsid w:val="00DF2010"/>
    <w:rsid w:val="00DF3559"/>
    <w:rsid w:val="00E1134D"/>
    <w:rsid w:val="00E15541"/>
    <w:rsid w:val="00E2404D"/>
    <w:rsid w:val="00E26612"/>
    <w:rsid w:val="00E337C6"/>
    <w:rsid w:val="00E36236"/>
    <w:rsid w:val="00E4785A"/>
    <w:rsid w:val="00E60ED0"/>
    <w:rsid w:val="00E60F2D"/>
    <w:rsid w:val="00E63FB3"/>
    <w:rsid w:val="00E66340"/>
    <w:rsid w:val="00E6668A"/>
    <w:rsid w:val="00E73F68"/>
    <w:rsid w:val="00E8517A"/>
    <w:rsid w:val="00E85ED1"/>
    <w:rsid w:val="00E913A2"/>
    <w:rsid w:val="00E9261E"/>
    <w:rsid w:val="00E9550A"/>
    <w:rsid w:val="00EB5468"/>
    <w:rsid w:val="00EC00C7"/>
    <w:rsid w:val="00EE27EB"/>
    <w:rsid w:val="00EF080A"/>
    <w:rsid w:val="00EF3922"/>
    <w:rsid w:val="00F038F4"/>
    <w:rsid w:val="00F07574"/>
    <w:rsid w:val="00F07E02"/>
    <w:rsid w:val="00F11FD8"/>
    <w:rsid w:val="00F14697"/>
    <w:rsid w:val="00F2550C"/>
    <w:rsid w:val="00F63271"/>
    <w:rsid w:val="00F70B47"/>
    <w:rsid w:val="00F73EAE"/>
    <w:rsid w:val="00F86849"/>
    <w:rsid w:val="00F92255"/>
    <w:rsid w:val="00FB0305"/>
    <w:rsid w:val="00FB52B5"/>
    <w:rsid w:val="00FB724F"/>
    <w:rsid w:val="00FB7EB5"/>
    <w:rsid w:val="00FC67FA"/>
    <w:rsid w:val="00FD0DD4"/>
    <w:rsid w:val="00FE3B7F"/>
    <w:rsid w:val="00FF10B6"/>
    <w:rsid w:val="00FF2224"/>
    <w:rsid w:val="00FF270E"/>
    <w:rsid w:val="00FF6D3A"/>
    <w:rsid w:val="0AAC0E4D"/>
    <w:rsid w:val="6D198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706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9B"/>
    <w:rPr>
      <w:rFonts w:ascii="Comic Sans MS" w:eastAsia="Times New Roman" w:hAnsi="Comic Sans MS"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099B"/>
    <w:pPr>
      <w:tabs>
        <w:tab w:val="center" w:pos="4252"/>
        <w:tab w:val="right" w:pos="8504"/>
      </w:tabs>
    </w:pPr>
  </w:style>
  <w:style w:type="character" w:customStyle="1" w:styleId="EncabezadoCar">
    <w:name w:val="Encabezado Car"/>
    <w:basedOn w:val="Fuentedeprrafopredeter"/>
    <w:link w:val="Encabezado"/>
    <w:rsid w:val="0081099B"/>
    <w:rPr>
      <w:rFonts w:ascii="Comic Sans MS" w:eastAsia="Times New Roman" w:hAnsi="Comic Sans MS" w:cs="Times New Roman"/>
      <w:sz w:val="24"/>
      <w:szCs w:val="24"/>
      <w:lang w:eastAsia="es-ES"/>
    </w:rPr>
  </w:style>
  <w:style w:type="paragraph" w:styleId="Piedepgina">
    <w:name w:val="footer"/>
    <w:basedOn w:val="Normal"/>
    <w:link w:val="PiedepginaCar"/>
    <w:rsid w:val="0081099B"/>
    <w:pPr>
      <w:tabs>
        <w:tab w:val="center" w:pos="4252"/>
        <w:tab w:val="right" w:pos="8504"/>
      </w:tabs>
    </w:pPr>
  </w:style>
  <w:style w:type="character" w:customStyle="1" w:styleId="PiedepginaCar">
    <w:name w:val="Pie de página Car"/>
    <w:basedOn w:val="Fuentedeprrafopredeter"/>
    <w:link w:val="Piedepgina"/>
    <w:rsid w:val="0081099B"/>
    <w:rPr>
      <w:rFonts w:ascii="Comic Sans MS" w:eastAsia="Times New Roman" w:hAnsi="Comic Sans MS" w:cs="Times New Roman"/>
      <w:sz w:val="24"/>
      <w:szCs w:val="24"/>
      <w:lang w:eastAsia="es-ES"/>
    </w:rPr>
  </w:style>
  <w:style w:type="paragraph" w:styleId="Textodeglobo">
    <w:name w:val="Balloon Text"/>
    <w:basedOn w:val="Normal"/>
    <w:link w:val="TextodegloboCar"/>
    <w:uiPriority w:val="99"/>
    <w:semiHidden/>
    <w:unhideWhenUsed/>
    <w:rsid w:val="0081099B"/>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99B"/>
    <w:rPr>
      <w:rFonts w:ascii="Tahoma" w:eastAsia="Times New Roman" w:hAnsi="Tahoma" w:cs="Tahoma"/>
      <w:sz w:val="16"/>
      <w:szCs w:val="16"/>
      <w:lang w:eastAsia="es-ES"/>
    </w:rPr>
  </w:style>
  <w:style w:type="table" w:styleId="Sombreadoclaro-nfasis5">
    <w:name w:val="Light Shading Accent 5"/>
    <w:basedOn w:val="Tablanormal"/>
    <w:uiPriority w:val="60"/>
    <w:rsid w:val="00E913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A41F3A"/>
    <w:pPr>
      <w:ind w:left="720"/>
      <w:contextualSpacing/>
    </w:pPr>
  </w:style>
  <w:style w:type="paragraph" w:customStyle="1" w:styleId="ecxmsonormal">
    <w:name w:val="ecxmsonormal"/>
    <w:basedOn w:val="Normal"/>
    <w:rsid w:val="00D477E6"/>
    <w:pPr>
      <w:spacing w:before="100" w:beforeAutospacing="1" w:after="100" w:afterAutospacing="1"/>
    </w:pPr>
    <w:rPr>
      <w:rFonts w:ascii="Times New Roman" w:hAnsi="Times New Roman"/>
      <w:lang w:val="es-MX" w:eastAsia="es-MX"/>
    </w:rPr>
  </w:style>
  <w:style w:type="paragraph" w:customStyle="1" w:styleId="paragraph">
    <w:name w:val="paragraph"/>
    <w:basedOn w:val="Normal"/>
    <w:rsid w:val="002C294C"/>
    <w:pPr>
      <w:spacing w:before="100" w:beforeAutospacing="1" w:after="100" w:afterAutospacing="1"/>
    </w:pPr>
    <w:rPr>
      <w:rFonts w:ascii="Times New Roman" w:hAnsi="Times New Roman"/>
      <w:lang w:val="es-MX" w:eastAsia="es-MX"/>
    </w:rPr>
  </w:style>
  <w:style w:type="character" w:customStyle="1" w:styleId="normaltextrun">
    <w:name w:val="normaltextrun"/>
    <w:basedOn w:val="Fuentedeprrafopredeter"/>
    <w:rsid w:val="002C294C"/>
  </w:style>
  <w:style w:type="character" w:customStyle="1" w:styleId="eop">
    <w:name w:val="eop"/>
    <w:basedOn w:val="Fuentedeprrafopredeter"/>
    <w:rsid w:val="002C294C"/>
  </w:style>
  <w:style w:type="character" w:customStyle="1" w:styleId="apple-converted-space">
    <w:name w:val="apple-converted-space"/>
    <w:basedOn w:val="Fuentedeprrafopredeter"/>
    <w:rsid w:val="002C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4188">
      <w:bodyDiv w:val="1"/>
      <w:marLeft w:val="0"/>
      <w:marRight w:val="0"/>
      <w:marTop w:val="0"/>
      <w:marBottom w:val="0"/>
      <w:divBdr>
        <w:top w:val="none" w:sz="0" w:space="0" w:color="auto"/>
        <w:left w:val="none" w:sz="0" w:space="0" w:color="auto"/>
        <w:bottom w:val="none" w:sz="0" w:space="0" w:color="auto"/>
        <w:right w:val="none" w:sz="0" w:space="0" w:color="auto"/>
      </w:divBdr>
    </w:div>
    <w:div w:id="175273681">
      <w:bodyDiv w:val="1"/>
      <w:marLeft w:val="0"/>
      <w:marRight w:val="0"/>
      <w:marTop w:val="0"/>
      <w:marBottom w:val="0"/>
      <w:divBdr>
        <w:top w:val="none" w:sz="0" w:space="0" w:color="auto"/>
        <w:left w:val="none" w:sz="0" w:space="0" w:color="auto"/>
        <w:bottom w:val="none" w:sz="0" w:space="0" w:color="auto"/>
        <w:right w:val="none" w:sz="0" w:space="0" w:color="auto"/>
      </w:divBdr>
    </w:div>
    <w:div w:id="1083065342">
      <w:bodyDiv w:val="1"/>
      <w:marLeft w:val="0"/>
      <w:marRight w:val="0"/>
      <w:marTop w:val="0"/>
      <w:marBottom w:val="0"/>
      <w:divBdr>
        <w:top w:val="none" w:sz="0" w:space="0" w:color="auto"/>
        <w:left w:val="none" w:sz="0" w:space="0" w:color="auto"/>
        <w:bottom w:val="none" w:sz="0" w:space="0" w:color="auto"/>
        <w:right w:val="none" w:sz="0" w:space="0" w:color="auto"/>
      </w:divBdr>
    </w:div>
    <w:div w:id="1123812903">
      <w:bodyDiv w:val="1"/>
      <w:marLeft w:val="0"/>
      <w:marRight w:val="0"/>
      <w:marTop w:val="0"/>
      <w:marBottom w:val="0"/>
      <w:divBdr>
        <w:top w:val="none" w:sz="0" w:space="0" w:color="auto"/>
        <w:left w:val="none" w:sz="0" w:space="0" w:color="auto"/>
        <w:bottom w:val="none" w:sz="0" w:space="0" w:color="auto"/>
        <w:right w:val="none" w:sz="0" w:space="0" w:color="auto"/>
      </w:divBdr>
    </w:div>
    <w:div w:id="1245147690">
      <w:bodyDiv w:val="1"/>
      <w:marLeft w:val="0"/>
      <w:marRight w:val="0"/>
      <w:marTop w:val="0"/>
      <w:marBottom w:val="0"/>
      <w:divBdr>
        <w:top w:val="none" w:sz="0" w:space="0" w:color="auto"/>
        <w:left w:val="none" w:sz="0" w:space="0" w:color="auto"/>
        <w:bottom w:val="none" w:sz="0" w:space="0" w:color="auto"/>
        <w:right w:val="none" w:sz="0" w:space="0" w:color="auto"/>
      </w:divBdr>
    </w:div>
    <w:div w:id="1934437919">
      <w:bodyDiv w:val="1"/>
      <w:marLeft w:val="0"/>
      <w:marRight w:val="0"/>
      <w:marTop w:val="0"/>
      <w:marBottom w:val="0"/>
      <w:divBdr>
        <w:top w:val="none" w:sz="0" w:space="0" w:color="auto"/>
        <w:left w:val="none" w:sz="0" w:space="0" w:color="auto"/>
        <w:bottom w:val="none" w:sz="0" w:space="0" w:color="auto"/>
        <w:right w:val="none" w:sz="0" w:space="0" w:color="auto"/>
      </w:divBdr>
    </w:div>
    <w:div w:id="21099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9E72-95D2-4C17-9DDA-5DBF7EB5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 Ayuntamiento de Colima</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dsalazar</dc:creator>
  <cp:lastModifiedBy>Carmen Vargas</cp:lastModifiedBy>
  <cp:revision>2</cp:revision>
  <cp:lastPrinted>2016-08-08T15:21:00Z</cp:lastPrinted>
  <dcterms:created xsi:type="dcterms:W3CDTF">2016-08-18T16:08:00Z</dcterms:created>
  <dcterms:modified xsi:type="dcterms:W3CDTF">2016-08-18T16:08:00Z</dcterms:modified>
</cp:coreProperties>
</file>